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B54F1" w14:textId="1501FF34" w:rsidR="00F405BC" w:rsidRPr="00F26EF7" w:rsidRDefault="00D4646A" w:rsidP="00F26133">
      <w:pPr>
        <w:spacing w:after="0"/>
        <w:jc w:val="center"/>
        <w:rPr>
          <w:b/>
          <w:sz w:val="36"/>
          <w:szCs w:val="36"/>
          <w:lang w:val="en-US"/>
        </w:rPr>
      </w:pPr>
      <w:bookmarkStart w:id="0" w:name="_GoBack"/>
      <w:bookmarkEnd w:id="0"/>
      <w:r w:rsidRPr="00F26EF7">
        <w:rPr>
          <w:b/>
          <w:sz w:val="36"/>
          <w:szCs w:val="36"/>
          <w:lang w:val="en-US"/>
        </w:rPr>
        <w:t xml:space="preserve">Feeling the pinch: Economic shocks, the IMF and mass </w:t>
      </w:r>
      <w:r w:rsidR="00F26133">
        <w:rPr>
          <w:b/>
          <w:sz w:val="36"/>
          <w:szCs w:val="36"/>
          <w:lang w:val="en-US"/>
        </w:rPr>
        <w:br/>
      </w:r>
      <w:r w:rsidRPr="00F26EF7">
        <w:rPr>
          <w:b/>
          <w:sz w:val="36"/>
          <w:szCs w:val="36"/>
          <w:lang w:val="en-US"/>
        </w:rPr>
        <w:t>mobilization</w:t>
      </w:r>
    </w:p>
    <w:p w14:paraId="13968309" w14:textId="77777777" w:rsidR="00F405BC" w:rsidRPr="00F26EF7" w:rsidRDefault="00D4646A">
      <w:pPr>
        <w:jc w:val="center"/>
        <w:rPr>
          <w:sz w:val="24"/>
          <w:szCs w:val="24"/>
          <w:lang w:val="en-US"/>
        </w:rPr>
      </w:pPr>
      <w:r w:rsidRPr="00F26EF7">
        <w:rPr>
          <w:sz w:val="24"/>
          <w:szCs w:val="24"/>
          <w:lang w:val="en-US"/>
        </w:rPr>
        <w:t>Kristian Skrede Gleditsch</w:t>
      </w:r>
      <w:r w:rsidRPr="00F26EF7">
        <w:rPr>
          <w:sz w:val="24"/>
          <w:szCs w:val="24"/>
          <w:vertAlign w:val="superscript"/>
          <w:lang w:val="en-US"/>
        </w:rPr>
        <w:t>1</w:t>
      </w:r>
      <w:r w:rsidRPr="00F26EF7">
        <w:rPr>
          <w:sz w:val="24"/>
          <w:szCs w:val="24"/>
          <w:lang w:val="en-US"/>
        </w:rPr>
        <w:t xml:space="preserve"> &amp; Gerald Schneider</w:t>
      </w:r>
      <w:r w:rsidRPr="00F26EF7">
        <w:rPr>
          <w:sz w:val="24"/>
          <w:szCs w:val="24"/>
          <w:vertAlign w:val="superscript"/>
          <w:lang w:val="en-US"/>
        </w:rPr>
        <w:t>2</w:t>
      </w:r>
    </w:p>
    <w:p w14:paraId="102DAFD0" w14:textId="77777777" w:rsidR="00F405BC" w:rsidRPr="00F26EF7" w:rsidRDefault="00F405BC">
      <w:pPr>
        <w:rPr>
          <w:sz w:val="24"/>
          <w:szCs w:val="24"/>
          <w:lang w:val="en-US"/>
        </w:rPr>
      </w:pPr>
    </w:p>
    <w:p w14:paraId="43BE733D" w14:textId="49B4AF7E" w:rsidR="00F405BC" w:rsidRPr="00F26EF7" w:rsidRDefault="00113527">
      <w:pPr>
        <w:rPr>
          <w:lang w:val="en-US"/>
        </w:rPr>
      </w:pPr>
      <w:r>
        <w:rPr>
          <w:sz w:val="24"/>
          <w:szCs w:val="24"/>
          <w:lang w:val="en-US"/>
        </w:rPr>
        <w:t>Financial</w:t>
      </w:r>
      <w:r w:rsidR="00D4646A" w:rsidRPr="00F26EF7">
        <w:rPr>
          <w:sz w:val="24"/>
          <w:szCs w:val="24"/>
          <w:lang w:val="en-US"/>
        </w:rPr>
        <w:t xml:space="preserve"> crises</w:t>
      </w:r>
      <w:r w:rsidR="00E82462" w:rsidRPr="00F26EF7">
        <w:rPr>
          <w:sz w:val="24"/>
          <w:szCs w:val="24"/>
          <w:lang w:val="en-US"/>
        </w:rPr>
        <w:t xml:space="preserve"> </w:t>
      </w:r>
      <w:r w:rsidR="00D4646A" w:rsidRPr="00F26EF7">
        <w:rPr>
          <w:sz w:val="24"/>
          <w:szCs w:val="24"/>
          <w:lang w:val="en-US"/>
        </w:rPr>
        <w:t xml:space="preserve">and the </w:t>
      </w:r>
      <w:r>
        <w:rPr>
          <w:sz w:val="24"/>
          <w:szCs w:val="24"/>
          <w:lang w:val="en-US"/>
        </w:rPr>
        <w:t xml:space="preserve">reform demands </w:t>
      </w:r>
      <w:r w:rsidR="00D62329">
        <w:rPr>
          <w:sz w:val="24"/>
          <w:szCs w:val="24"/>
          <w:lang w:val="en-US"/>
        </w:rPr>
        <w:t xml:space="preserve">that </w:t>
      </w:r>
      <w:r>
        <w:rPr>
          <w:sz w:val="24"/>
          <w:szCs w:val="24"/>
          <w:lang w:val="en-US"/>
        </w:rPr>
        <w:t>the</w:t>
      </w:r>
      <w:r w:rsidR="000B3289">
        <w:rPr>
          <w:sz w:val="24"/>
          <w:szCs w:val="24"/>
          <w:lang w:val="en-US"/>
        </w:rPr>
        <w:t xml:space="preserve"> </w:t>
      </w:r>
      <w:r w:rsidR="00D4646A" w:rsidRPr="00F26EF7">
        <w:rPr>
          <w:sz w:val="24"/>
          <w:szCs w:val="24"/>
          <w:lang w:val="en-US"/>
        </w:rPr>
        <w:t>International Monetary Fund (IMF</w:t>
      </w:r>
      <w:r w:rsidR="00562238">
        <w:rPr>
          <w:sz w:val="24"/>
          <w:szCs w:val="24"/>
          <w:lang w:val="en-US"/>
        </w:rPr>
        <w:t>)</w:t>
      </w:r>
      <w:r>
        <w:rPr>
          <w:sz w:val="24"/>
          <w:szCs w:val="24"/>
          <w:lang w:val="en-US"/>
        </w:rPr>
        <w:t xml:space="preserve"> </w:t>
      </w:r>
      <w:r w:rsidR="00F76CF4">
        <w:rPr>
          <w:sz w:val="24"/>
          <w:szCs w:val="24"/>
          <w:lang w:val="en-US"/>
        </w:rPr>
        <w:t xml:space="preserve">attaches to its rescue packages </w:t>
      </w:r>
      <w:r w:rsidR="00EA0DE6" w:rsidRPr="00F26EF7">
        <w:rPr>
          <w:sz w:val="24"/>
          <w:szCs w:val="24"/>
          <w:lang w:val="en-US"/>
        </w:rPr>
        <w:t xml:space="preserve">are often held to </w:t>
      </w:r>
      <w:r w:rsidR="008501B8">
        <w:rPr>
          <w:sz w:val="24"/>
          <w:szCs w:val="24"/>
          <w:lang w:val="en-US"/>
        </w:rPr>
        <w:t>trigger</w:t>
      </w:r>
      <w:r w:rsidR="00D4646A" w:rsidRPr="00F26EF7">
        <w:rPr>
          <w:sz w:val="24"/>
          <w:szCs w:val="24"/>
          <w:lang w:val="en-US"/>
        </w:rPr>
        <w:t xml:space="preserve"> social unrest. We evaluate </w:t>
      </w:r>
      <w:r w:rsidR="00EA0DE6" w:rsidRPr="00F26EF7">
        <w:rPr>
          <w:sz w:val="24"/>
          <w:szCs w:val="24"/>
          <w:lang w:val="en-US"/>
        </w:rPr>
        <w:t xml:space="preserve">the relative impact of </w:t>
      </w:r>
      <w:r w:rsidR="00562238">
        <w:rPr>
          <w:sz w:val="24"/>
          <w:szCs w:val="24"/>
          <w:lang w:val="en-US"/>
        </w:rPr>
        <w:t xml:space="preserve">different types of </w:t>
      </w:r>
      <w:r w:rsidR="00EA0DE6" w:rsidRPr="00F26EF7">
        <w:rPr>
          <w:sz w:val="24"/>
          <w:szCs w:val="24"/>
          <w:lang w:val="en-US"/>
        </w:rPr>
        <w:t xml:space="preserve">crises and IMF programs on </w:t>
      </w:r>
      <w:r w:rsidR="008501B8">
        <w:rPr>
          <w:sz w:val="24"/>
          <w:szCs w:val="24"/>
          <w:lang w:val="en-US"/>
        </w:rPr>
        <w:t>mass mobilization</w:t>
      </w:r>
      <w:r w:rsidR="00EA0DE6" w:rsidRPr="00F26EF7">
        <w:rPr>
          <w:sz w:val="24"/>
          <w:szCs w:val="24"/>
          <w:lang w:val="en-US"/>
        </w:rPr>
        <w:t xml:space="preserve">, using more detailed data on the </w:t>
      </w:r>
      <w:r w:rsidR="00562238">
        <w:rPr>
          <w:sz w:val="24"/>
          <w:szCs w:val="24"/>
          <w:lang w:val="en-US"/>
        </w:rPr>
        <w:t xml:space="preserve">onset </w:t>
      </w:r>
      <w:r w:rsidR="00EA0DE6" w:rsidRPr="00F26EF7">
        <w:rPr>
          <w:sz w:val="24"/>
          <w:szCs w:val="24"/>
          <w:lang w:val="en-US"/>
        </w:rPr>
        <w:t xml:space="preserve">of </w:t>
      </w:r>
      <w:r w:rsidR="00562238">
        <w:rPr>
          <w:sz w:val="24"/>
          <w:szCs w:val="24"/>
          <w:lang w:val="en-US"/>
        </w:rPr>
        <w:t>the economic</w:t>
      </w:r>
      <w:r w:rsidR="008501B8">
        <w:rPr>
          <w:sz w:val="24"/>
          <w:szCs w:val="24"/>
          <w:lang w:val="en-US"/>
        </w:rPr>
        <w:t xml:space="preserve"> shocks</w:t>
      </w:r>
      <w:r w:rsidR="00F76CF4">
        <w:rPr>
          <w:sz w:val="24"/>
          <w:szCs w:val="24"/>
          <w:lang w:val="en-US"/>
        </w:rPr>
        <w:t xml:space="preserve"> and</w:t>
      </w:r>
      <w:r w:rsidR="008501B8">
        <w:rPr>
          <w:sz w:val="24"/>
          <w:szCs w:val="24"/>
          <w:lang w:val="en-US"/>
        </w:rPr>
        <w:t xml:space="preserve"> </w:t>
      </w:r>
      <w:r w:rsidR="00D4646A" w:rsidRPr="00F26EF7">
        <w:rPr>
          <w:sz w:val="24"/>
          <w:szCs w:val="24"/>
          <w:lang w:val="en-US"/>
        </w:rPr>
        <w:t>the agreement of the affected country with the IMF on a rescue package</w:t>
      </w:r>
      <w:r w:rsidR="00795F68">
        <w:rPr>
          <w:sz w:val="24"/>
          <w:szCs w:val="24"/>
          <w:lang w:val="en-US"/>
        </w:rPr>
        <w:t>,</w:t>
      </w:r>
      <w:r w:rsidR="00D94407">
        <w:rPr>
          <w:sz w:val="24"/>
          <w:szCs w:val="24"/>
          <w:lang w:val="en-US"/>
        </w:rPr>
        <w:t xml:space="preserve"> and distinguishing between </w:t>
      </w:r>
      <w:r w:rsidR="00D94407" w:rsidRPr="00F26EF7">
        <w:rPr>
          <w:sz w:val="24"/>
          <w:szCs w:val="24"/>
          <w:lang w:val="en-US"/>
        </w:rPr>
        <w:t>violent and nonviol</w:t>
      </w:r>
      <w:r w:rsidR="00D94407">
        <w:rPr>
          <w:sz w:val="24"/>
          <w:szCs w:val="24"/>
          <w:lang w:val="en-US"/>
        </w:rPr>
        <w:t>ent dissent</w:t>
      </w:r>
      <w:r w:rsidR="00D4646A" w:rsidRPr="00F26EF7">
        <w:rPr>
          <w:sz w:val="24"/>
          <w:szCs w:val="24"/>
          <w:lang w:val="en-US"/>
        </w:rPr>
        <w:t xml:space="preserve">. Our analysis </w:t>
      </w:r>
      <w:r w:rsidR="002627F8">
        <w:rPr>
          <w:sz w:val="24"/>
          <w:szCs w:val="24"/>
          <w:lang w:val="en-US"/>
        </w:rPr>
        <w:t xml:space="preserve">used </w:t>
      </w:r>
      <w:r w:rsidR="00D4646A" w:rsidRPr="00F26EF7">
        <w:rPr>
          <w:sz w:val="24"/>
          <w:szCs w:val="24"/>
          <w:lang w:val="en-US"/>
        </w:rPr>
        <w:t xml:space="preserve">quarterly conflict data </w:t>
      </w:r>
      <w:r w:rsidR="002627F8">
        <w:rPr>
          <w:sz w:val="24"/>
          <w:szCs w:val="24"/>
          <w:lang w:val="en-US"/>
        </w:rPr>
        <w:t xml:space="preserve">and </w:t>
      </w:r>
      <w:r w:rsidR="00D4646A" w:rsidRPr="00F26EF7">
        <w:rPr>
          <w:sz w:val="24"/>
          <w:szCs w:val="24"/>
          <w:lang w:val="en-US"/>
        </w:rPr>
        <w:t>takes into account the endogenous nature of IMF lending</w:t>
      </w:r>
      <w:r w:rsidR="00EA0DE6" w:rsidRPr="00F26EF7">
        <w:rPr>
          <w:sz w:val="24"/>
          <w:szCs w:val="24"/>
          <w:lang w:val="en-US"/>
        </w:rPr>
        <w:t xml:space="preserve"> to countries</w:t>
      </w:r>
      <w:r w:rsidR="00F76CF4">
        <w:rPr>
          <w:sz w:val="24"/>
          <w:szCs w:val="24"/>
          <w:lang w:val="en-US"/>
        </w:rPr>
        <w:t xml:space="preserve"> that experience a banking, currency or sovereign debt cris</w:t>
      </w:r>
      <w:r w:rsidR="00C136C1">
        <w:rPr>
          <w:sz w:val="24"/>
          <w:szCs w:val="24"/>
          <w:lang w:val="en-US"/>
        </w:rPr>
        <w:t>e</w:t>
      </w:r>
      <w:r w:rsidR="00F76CF4">
        <w:rPr>
          <w:sz w:val="24"/>
          <w:szCs w:val="24"/>
          <w:lang w:val="en-US"/>
        </w:rPr>
        <w:t>s</w:t>
      </w:r>
      <w:r w:rsidR="004061E7" w:rsidRPr="00F26EF7">
        <w:rPr>
          <w:sz w:val="24"/>
          <w:szCs w:val="24"/>
          <w:lang w:val="en-US"/>
        </w:rPr>
        <w:t xml:space="preserve">. </w:t>
      </w:r>
      <w:r w:rsidR="008501B8">
        <w:rPr>
          <w:sz w:val="24"/>
          <w:szCs w:val="24"/>
          <w:lang w:val="en-US"/>
        </w:rPr>
        <w:t xml:space="preserve">Although </w:t>
      </w:r>
      <w:r w:rsidR="00F76CF4">
        <w:rPr>
          <w:sz w:val="24"/>
          <w:szCs w:val="24"/>
          <w:lang w:val="en-US"/>
        </w:rPr>
        <w:t xml:space="preserve">financial stress </w:t>
      </w:r>
      <w:r w:rsidR="008501B8">
        <w:rPr>
          <w:sz w:val="24"/>
          <w:szCs w:val="24"/>
          <w:lang w:val="en-US"/>
        </w:rPr>
        <w:t>increase</w:t>
      </w:r>
      <w:r w:rsidR="00F76CF4">
        <w:rPr>
          <w:sz w:val="24"/>
          <w:szCs w:val="24"/>
          <w:lang w:val="en-US"/>
        </w:rPr>
        <w:t>s</w:t>
      </w:r>
      <w:r w:rsidR="008501B8">
        <w:rPr>
          <w:sz w:val="24"/>
          <w:szCs w:val="24"/>
          <w:lang w:val="en-US"/>
        </w:rPr>
        <w:t xml:space="preserve"> the </w:t>
      </w:r>
      <w:r w:rsidR="002E3F15">
        <w:rPr>
          <w:sz w:val="24"/>
          <w:szCs w:val="24"/>
          <w:lang w:val="en-US"/>
        </w:rPr>
        <w:t xml:space="preserve">likelihood </w:t>
      </w:r>
      <w:r w:rsidR="008501B8">
        <w:rPr>
          <w:sz w:val="24"/>
          <w:szCs w:val="24"/>
          <w:lang w:val="en-US"/>
        </w:rPr>
        <w:t>of nonviolent protest, w</w:t>
      </w:r>
      <w:r w:rsidR="004061E7" w:rsidRPr="00F26EF7">
        <w:rPr>
          <w:sz w:val="24"/>
          <w:szCs w:val="24"/>
          <w:lang w:val="en-US"/>
        </w:rPr>
        <w:t xml:space="preserve">e </w:t>
      </w:r>
      <w:r w:rsidR="00562238">
        <w:rPr>
          <w:sz w:val="24"/>
          <w:szCs w:val="24"/>
          <w:lang w:val="en-US"/>
        </w:rPr>
        <w:t>demonstrate</w:t>
      </w:r>
      <w:r w:rsidR="004061E7" w:rsidRPr="00F26EF7">
        <w:rPr>
          <w:sz w:val="24"/>
          <w:szCs w:val="24"/>
          <w:lang w:val="en-US"/>
        </w:rPr>
        <w:t xml:space="preserve"> that </w:t>
      </w:r>
      <w:r w:rsidR="00D4646A" w:rsidRPr="00F26EF7">
        <w:rPr>
          <w:sz w:val="24"/>
          <w:szCs w:val="24"/>
          <w:lang w:val="en-US"/>
        </w:rPr>
        <w:t xml:space="preserve">IMF interventions </w:t>
      </w:r>
      <w:r w:rsidR="004061E7" w:rsidRPr="00F26EF7">
        <w:rPr>
          <w:sz w:val="24"/>
          <w:szCs w:val="24"/>
          <w:lang w:val="en-US"/>
        </w:rPr>
        <w:t xml:space="preserve">actually </w:t>
      </w:r>
      <w:r w:rsidR="002E3F15">
        <w:rPr>
          <w:sz w:val="24"/>
          <w:szCs w:val="24"/>
          <w:lang w:val="en-US"/>
        </w:rPr>
        <w:t xml:space="preserve">decrease </w:t>
      </w:r>
      <w:r w:rsidR="00D4646A" w:rsidRPr="00F26EF7">
        <w:rPr>
          <w:sz w:val="24"/>
          <w:szCs w:val="24"/>
          <w:lang w:val="en-US"/>
        </w:rPr>
        <w:t xml:space="preserve">the </w:t>
      </w:r>
      <w:r w:rsidR="004061E7" w:rsidRPr="00F26EF7">
        <w:rPr>
          <w:sz w:val="24"/>
          <w:szCs w:val="24"/>
          <w:lang w:val="en-US"/>
        </w:rPr>
        <w:t xml:space="preserve">risk of </w:t>
      </w:r>
      <w:r w:rsidR="005A6CE0">
        <w:rPr>
          <w:sz w:val="24"/>
          <w:szCs w:val="24"/>
          <w:lang w:val="en-US"/>
        </w:rPr>
        <w:t xml:space="preserve">new </w:t>
      </w:r>
      <w:r w:rsidR="00D4646A" w:rsidRPr="00F26EF7">
        <w:rPr>
          <w:sz w:val="24"/>
          <w:szCs w:val="24"/>
          <w:lang w:val="en-US"/>
        </w:rPr>
        <w:t>conflict</w:t>
      </w:r>
      <w:r w:rsidR="00DE3771" w:rsidRPr="00F26EF7">
        <w:rPr>
          <w:sz w:val="24"/>
          <w:szCs w:val="24"/>
          <w:lang w:val="en-US"/>
        </w:rPr>
        <w:t xml:space="preserve">, </w:t>
      </w:r>
      <w:r w:rsidR="008501B8">
        <w:rPr>
          <w:sz w:val="24"/>
          <w:szCs w:val="24"/>
          <w:lang w:val="en-US"/>
        </w:rPr>
        <w:t xml:space="preserve">consistent with </w:t>
      </w:r>
      <w:r w:rsidR="005A6CE0">
        <w:rPr>
          <w:sz w:val="24"/>
          <w:szCs w:val="24"/>
          <w:lang w:val="en-US"/>
        </w:rPr>
        <w:t xml:space="preserve">a potential </w:t>
      </w:r>
      <w:r w:rsidR="008501B8">
        <w:rPr>
          <w:sz w:val="24"/>
          <w:szCs w:val="24"/>
          <w:lang w:val="en-US"/>
        </w:rPr>
        <w:t xml:space="preserve">accommodating effect of lending and adjustments </w:t>
      </w:r>
      <w:r w:rsidR="007E5B1E">
        <w:rPr>
          <w:sz w:val="24"/>
          <w:szCs w:val="24"/>
          <w:lang w:val="en-US"/>
        </w:rPr>
        <w:t xml:space="preserve">in </w:t>
      </w:r>
      <w:r w:rsidR="008501B8">
        <w:rPr>
          <w:sz w:val="24"/>
          <w:szCs w:val="24"/>
          <w:lang w:val="en-US"/>
        </w:rPr>
        <w:t xml:space="preserve">countries that pass the screening criteria. </w:t>
      </w:r>
      <w:r w:rsidR="005A6CE0">
        <w:rPr>
          <w:sz w:val="24"/>
          <w:szCs w:val="24"/>
          <w:lang w:val="en-US"/>
        </w:rPr>
        <w:t xml:space="preserve">Furthermore, we </w:t>
      </w:r>
      <w:r w:rsidR="00855476" w:rsidRPr="00F26EF7">
        <w:rPr>
          <w:sz w:val="24"/>
          <w:szCs w:val="24"/>
          <w:lang w:val="en-US"/>
        </w:rPr>
        <w:t xml:space="preserve">find </w:t>
      </w:r>
      <w:r w:rsidR="00D4646A" w:rsidRPr="00F26EF7">
        <w:rPr>
          <w:sz w:val="24"/>
          <w:szCs w:val="24"/>
          <w:lang w:val="en-US"/>
        </w:rPr>
        <w:t xml:space="preserve">no </w:t>
      </w:r>
      <w:r w:rsidR="00DE3771" w:rsidRPr="00F26EF7">
        <w:rPr>
          <w:sz w:val="24"/>
          <w:szCs w:val="24"/>
          <w:lang w:val="en-US"/>
        </w:rPr>
        <w:t xml:space="preserve">evidence </w:t>
      </w:r>
      <w:r w:rsidR="009C0F64">
        <w:rPr>
          <w:sz w:val="24"/>
          <w:szCs w:val="24"/>
          <w:lang w:val="en-US"/>
        </w:rPr>
        <w:t xml:space="preserve">that </w:t>
      </w:r>
      <w:r w:rsidR="00A2784E">
        <w:rPr>
          <w:sz w:val="24"/>
          <w:szCs w:val="24"/>
          <w:lang w:val="en-US"/>
        </w:rPr>
        <w:t xml:space="preserve">IMF programs </w:t>
      </w:r>
      <w:r w:rsidR="009C0F64">
        <w:rPr>
          <w:sz w:val="24"/>
          <w:szCs w:val="24"/>
          <w:lang w:val="en-US"/>
        </w:rPr>
        <w:t xml:space="preserve">increase the risk of </w:t>
      </w:r>
      <w:r w:rsidR="00D4646A" w:rsidRPr="00F26EF7">
        <w:rPr>
          <w:sz w:val="24"/>
          <w:szCs w:val="24"/>
          <w:lang w:val="en-US"/>
        </w:rPr>
        <w:t xml:space="preserve">political violence in crisis-ridden countries. </w:t>
      </w:r>
    </w:p>
    <w:p w14:paraId="7C57B93B" w14:textId="77777777" w:rsidR="00F405BC" w:rsidRPr="00F26EF7" w:rsidRDefault="00F405BC">
      <w:pPr>
        <w:rPr>
          <w:sz w:val="24"/>
          <w:szCs w:val="24"/>
          <w:lang w:val="en-US"/>
        </w:rPr>
      </w:pPr>
    </w:p>
    <w:p w14:paraId="34D1C7C4" w14:textId="77777777" w:rsidR="005B3B17" w:rsidRPr="00F26EF7" w:rsidRDefault="005B3B17">
      <w:pPr>
        <w:spacing w:line="240" w:lineRule="auto"/>
        <w:rPr>
          <w:sz w:val="24"/>
          <w:szCs w:val="24"/>
          <w:lang w:val="en-US"/>
        </w:rPr>
      </w:pPr>
    </w:p>
    <w:p w14:paraId="6EE97E58" w14:textId="77777777" w:rsidR="005B3B17" w:rsidRPr="00F26EF7" w:rsidRDefault="005B3B17">
      <w:pPr>
        <w:spacing w:line="240" w:lineRule="auto"/>
        <w:rPr>
          <w:sz w:val="24"/>
          <w:szCs w:val="24"/>
          <w:lang w:val="en-US"/>
        </w:rPr>
      </w:pPr>
    </w:p>
    <w:p w14:paraId="71DE9DE5" w14:textId="77777777" w:rsidR="00F405BC" w:rsidRPr="00F26EF7" w:rsidRDefault="00D4646A">
      <w:pPr>
        <w:spacing w:line="240" w:lineRule="auto"/>
        <w:rPr>
          <w:lang w:val="en-US"/>
        </w:rPr>
      </w:pPr>
      <w:r w:rsidRPr="00F26EF7">
        <w:rPr>
          <w:vertAlign w:val="superscript"/>
          <w:lang w:val="en-US"/>
        </w:rPr>
        <w:t>1</w:t>
      </w:r>
      <w:r w:rsidRPr="00F26EF7">
        <w:rPr>
          <w:lang w:val="en-US"/>
        </w:rPr>
        <w:t xml:space="preserve"> Department of Government, University of Essex, UK; Peace Research Institute Oslo, Norway; Graduate School of Decision Sciences, University of Konstanz, Germany. Email:  </w:t>
      </w:r>
      <w:hyperlink r:id="rId8">
        <w:r w:rsidRPr="00F26EF7">
          <w:rPr>
            <w:rStyle w:val="InternetLink"/>
            <w:color w:val="00000A"/>
            <w:u w:val="none"/>
            <w:lang w:val="en-US"/>
          </w:rPr>
          <w:t>ksg@essex.ac.uk</w:t>
        </w:r>
      </w:hyperlink>
    </w:p>
    <w:p w14:paraId="045C4485" w14:textId="77777777" w:rsidR="00F405BC" w:rsidRPr="00F26EF7" w:rsidRDefault="00D4646A">
      <w:pPr>
        <w:spacing w:line="240" w:lineRule="auto"/>
        <w:rPr>
          <w:lang w:val="en-US"/>
        </w:rPr>
      </w:pPr>
      <w:r w:rsidRPr="00F26EF7">
        <w:rPr>
          <w:vertAlign w:val="superscript"/>
          <w:lang w:val="en-US"/>
        </w:rPr>
        <w:t>2</w:t>
      </w:r>
      <w:r w:rsidRPr="00F26EF7">
        <w:rPr>
          <w:lang w:val="en-US"/>
        </w:rPr>
        <w:t xml:space="preserve"> Department of Politics and Public Administration and Graduate School of Decision Sciences, University of Konstanz, Germany. Email: </w:t>
      </w:r>
      <w:hyperlink r:id="rId9">
        <w:r w:rsidRPr="00F26EF7">
          <w:rPr>
            <w:rStyle w:val="InternetLink"/>
            <w:color w:val="00000A"/>
            <w:u w:val="none"/>
            <w:lang w:val="en-US"/>
          </w:rPr>
          <w:t>Gerald.Schneider@uni-konstanz.de</w:t>
        </w:r>
      </w:hyperlink>
    </w:p>
    <w:p w14:paraId="62BD4C33" w14:textId="25A12ED3" w:rsidR="00F405BC" w:rsidRPr="00F26EF7" w:rsidRDefault="00F90A34">
      <w:pPr>
        <w:spacing w:line="240" w:lineRule="auto"/>
        <w:rPr>
          <w:sz w:val="24"/>
          <w:szCs w:val="24"/>
          <w:lang w:val="en-US"/>
        </w:rPr>
      </w:pPr>
      <w:r w:rsidRPr="00F26EF7">
        <w:rPr>
          <w:sz w:val="24"/>
          <w:szCs w:val="24"/>
          <w:lang w:val="en-US"/>
        </w:rPr>
        <w:t xml:space="preserve">Previous versions of this </w:t>
      </w:r>
      <w:r w:rsidR="00F444DD">
        <w:rPr>
          <w:sz w:val="24"/>
          <w:szCs w:val="24"/>
          <w:lang w:val="en-US"/>
        </w:rPr>
        <w:t xml:space="preserve">manuscript </w:t>
      </w:r>
      <w:r w:rsidRPr="00F26EF7">
        <w:rPr>
          <w:sz w:val="24"/>
          <w:szCs w:val="24"/>
          <w:lang w:val="en-US"/>
        </w:rPr>
        <w:t xml:space="preserve">have been </w:t>
      </w:r>
      <w:r w:rsidR="003C72B3" w:rsidRPr="00F26EF7">
        <w:rPr>
          <w:sz w:val="24"/>
          <w:szCs w:val="24"/>
          <w:lang w:val="en-US"/>
        </w:rPr>
        <w:t>present</w:t>
      </w:r>
      <w:r w:rsidRPr="00F26EF7">
        <w:rPr>
          <w:sz w:val="24"/>
          <w:szCs w:val="24"/>
          <w:lang w:val="en-US"/>
        </w:rPr>
        <w:t>ed</w:t>
      </w:r>
      <w:r w:rsidR="003C72B3" w:rsidRPr="00F26EF7">
        <w:rPr>
          <w:sz w:val="24"/>
          <w:szCs w:val="24"/>
          <w:lang w:val="en-US"/>
        </w:rPr>
        <w:t xml:space="preserve"> at </w:t>
      </w:r>
      <w:r w:rsidRPr="00F26EF7">
        <w:rPr>
          <w:sz w:val="24"/>
          <w:szCs w:val="24"/>
          <w:lang w:val="en-US"/>
        </w:rPr>
        <w:t xml:space="preserve">workshops at the </w:t>
      </w:r>
      <w:r w:rsidR="003C72B3" w:rsidRPr="00F26EF7">
        <w:rPr>
          <w:sz w:val="24"/>
          <w:szCs w:val="24"/>
          <w:lang w:val="en-US"/>
        </w:rPr>
        <w:t xml:space="preserve">University of </w:t>
      </w:r>
      <w:r w:rsidR="00855476" w:rsidRPr="00F26EF7">
        <w:rPr>
          <w:sz w:val="24"/>
          <w:szCs w:val="24"/>
          <w:lang w:val="en-US"/>
        </w:rPr>
        <w:t xml:space="preserve">Essex, the University of </w:t>
      </w:r>
      <w:r w:rsidR="003C72B3" w:rsidRPr="00F26EF7">
        <w:rPr>
          <w:sz w:val="24"/>
          <w:szCs w:val="24"/>
          <w:lang w:val="en-US"/>
        </w:rPr>
        <w:t>Houston</w:t>
      </w:r>
      <w:r w:rsidRPr="00F26EF7">
        <w:rPr>
          <w:sz w:val="24"/>
          <w:szCs w:val="24"/>
          <w:lang w:val="en-US"/>
        </w:rPr>
        <w:t xml:space="preserve"> and the University of Konstanz</w:t>
      </w:r>
      <w:r w:rsidR="003C72B3" w:rsidRPr="00F26EF7">
        <w:rPr>
          <w:sz w:val="24"/>
          <w:szCs w:val="24"/>
          <w:lang w:val="en-US"/>
        </w:rPr>
        <w:t>.</w:t>
      </w:r>
      <w:r w:rsidR="00336331" w:rsidRPr="00F26EF7">
        <w:rPr>
          <w:sz w:val="24"/>
          <w:szCs w:val="24"/>
          <w:lang w:val="en-US"/>
        </w:rPr>
        <w:t xml:space="preserve"> </w:t>
      </w:r>
      <w:r w:rsidRPr="00F26EF7">
        <w:rPr>
          <w:sz w:val="24"/>
          <w:szCs w:val="24"/>
          <w:lang w:val="en-US"/>
        </w:rPr>
        <w:t>We wo</w:t>
      </w:r>
      <w:r w:rsidR="00281D5D" w:rsidRPr="00F26EF7">
        <w:rPr>
          <w:sz w:val="24"/>
          <w:szCs w:val="24"/>
          <w:lang w:val="en-US"/>
        </w:rPr>
        <w:t>uld like to thank Charles Butch</w:t>
      </w:r>
      <w:r w:rsidRPr="00F26EF7">
        <w:rPr>
          <w:sz w:val="24"/>
          <w:szCs w:val="24"/>
          <w:lang w:val="en-US"/>
        </w:rPr>
        <w:t xml:space="preserve">er, Hyeran Jo and Ryan Kennedy as well as the other participants for </w:t>
      </w:r>
      <w:r w:rsidR="00855476" w:rsidRPr="00F26EF7">
        <w:rPr>
          <w:sz w:val="24"/>
          <w:szCs w:val="24"/>
          <w:lang w:val="en-US"/>
        </w:rPr>
        <w:t xml:space="preserve">helpful </w:t>
      </w:r>
      <w:r w:rsidRPr="00F26EF7">
        <w:rPr>
          <w:sz w:val="24"/>
          <w:szCs w:val="24"/>
          <w:lang w:val="en-US"/>
        </w:rPr>
        <w:t>comments</w:t>
      </w:r>
      <w:r w:rsidR="00855476" w:rsidRPr="00F26EF7">
        <w:rPr>
          <w:sz w:val="24"/>
          <w:szCs w:val="24"/>
          <w:lang w:val="en-US"/>
        </w:rPr>
        <w:t xml:space="preserve"> and suggestions</w:t>
      </w:r>
      <w:r w:rsidR="00F444DD">
        <w:rPr>
          <w:sz w:val="24"/>
          <w:szCs w:val="24"/>
          <w:lang w:val="en-US"/>
        </w:rPr>
        <w:t>. We gratefully acknowledge r</w:t>
      </w:r>
      <w:r w:rsidR="00D4646A" w:rsidRPr="00F26EF7">
        <w:rPr>
          <w:sz w:val="24"/>
          <w:szCs w:val="24"/>
          <w:lang w:val="en-US"/>
        </w:rPr>
        <w:t xml:space="preserve">esearch support from the Alexander von Humboldt Foundation through an Anneliese Meier Award to Kristian Skrede Gleditsch. We would like to thank Christoph Dworschak, Rahel Kröker, and Pattamon Poonsiri for </w:t>
      </w:r>
      <w:r w:rsidR="00F444DD">
        <w:rPr>
          <w:sz w:val="24"/>
          <w:szCs w:val="24"/>
          <w:lang w:val="en-US"/>
        </w:rPr>
        <w:t xml:space="preserve">excellent </w:t>
      </w:r>
      <w:r w:rsidR="00D4646A" w:rsidRPr="00F26EF7">
        <w:rPr>
          <w:sz w:val="24"/>
          <w:szCs w:val="24"/>
          <w:lang w:val="en-US"/>
        </w:rPr>
        <w:t>research assistance.</w:t>
      </w:r>
    </w:p>
    <w:p w14:paraId="7B13D641" w14:textId="0EA0F580" w:rsidR="00F405BC" w:rsidRPr="00F26EF7" w:rsidRDefault="00D4646A" w:rsidP="005B3B17">
      <w:pPr>
        <w:rPr>
          <w:b/>
          <w:sz w:val="24"/>
          <w:szCs w:val="24"/>
          <w:lang w:val="en-US"/>
        </w:rPr>
      </w:pPr>
      <w:r w:rsidRPr="00F26EF7">
        <w:rPr>
          <w:lang w:val="en-US"/>
        </w:rPr>
        <w:br w:type="page"/>
      </w:r>
      <w:r w:rsidRPr="00F26EF7">
        <w:rPr>
          <w:b/>
          <w:sz w:val="24"/>
          <w:szCs w:val="24"/>
          <w:lang w:val="en-US"/>
        </w:rPr>
        <w:lastRenderedPageBreak/>
        <w:t xml:space="preserve"> Introduction</w:t>
      </w:r>
    </w:p>
    <w:p w14:paraId="40E05732" w14:textId="063C5FA9" w:rsidR="00F405BC" w:rsidRPr="00F26EF7" w:rsidRDefault="009E3F92" w:rsidP="00C47ACD">
      <w:pPr>
        <w:rPr>
          <w:sz w:val="24"/>
          <w:szCs w:val="24"/>
          <w:lang w:val="en-US"/>
        </w:rPr>
      </w:pPr>
      <w:r w:rsidRPr="00F26EF7">
        <w:rPr>
          <w:sz w:val="24"/>
          <w:szCs w:val="24"/>
          <w:lang w:val="en-US"/>
        </w:rPr>
        <w:t xml:space="preserve">Two months after the overthrow of </w:t>
      </w:r>
      <w:r w:rsidR="00D41752" w:rsidRPr="00F26EF7">
        <w:rPr>
          <w:sz w:val="24"/>
          <w:szCs w:val="24"/>
          <w:lang w:val="en-US"/>
        </w:rPr>
        <w:t xml:space="preserve">President </w:t>
      </w:r>
      <w:r w:rsidRPr="00F26EF7">
        <w:rPr>
          <w:sz w:val="24"/>
          <w:szCs w:val="24"/>
          <w:lang w:val="en-US"/>
        </w:rPr>
        <w:t>Slobodan Milošević</w:t>
      </w:r>
      <w:r w:rsidR="00C47ACD" w:rsidRPr="00F26EF7">
        <w:rPr>
          <w:sz w:val="24"/>
          <w:szCs w:val="24"/>
          <w:lang w:val="en-US"/>
        </w:rPr>
        <w:t xml:space="preserve"> in October 2000</w:t>
      </w:r>
      <w:r w:rsidRPr="00F26EF7">
        <w:rPr>
          <w:sz w:val="24"/>
          <w:szCs w:val="24"/>
          <w:lang w:val="en-US"/>
        </w:rPr>
        <w:t xml:space="preserve">, the International Monetary Fund (IMF) agreed </w:t>
      </w:r>
      <w:r w:rsidR="00D41752" w:rsidRPr="00F26EF7">
        <w:rPr>
          <w:sz w:val="24"/>
          <w:szCs w:val="24"/>
          <w:lang w:val="en-US"/>
        </w:rPr>
        <w:t xml:space="preserve">to </w:t>
      </w:r>
      <w:r w:rsidR="00C47ACD" w:rsidRPr="00F26EF7">
        <w:rPr>
          <w:sz w:val="24"/>
          <w:szCs w:val="24"/>
          <w:lang w:val="en-US"/>
        </w:rPr>
        <w:t>grant</w:t>
      </w:r>
      <w:r w:rsidRPr="00F26EF7">
        <w:rPr>
          <w:sz w:val="24"/>
          <w:szCs w:val="24"/>
          <w:lang w:val="en-US"/>
        </w:rPr>
        <w:t xml:space="preserve"> </w:t>
      </w:r>
      <w:r w:rsidR="00C47ACD" w:rsidRPr="00F26EF7">
        <w:rPr>
          <w:sz w:val="24"/>
          <w:szCs w:val="24"/>
          <w:lang w:val="en-US"/>
        </w:rPr>
        <w:t xml:space="preserve">membership to the Federal Republic of Yugoslavia and </w:t>
      </w:r>
      <w:r w:rsidR="009C0F64">
        <w:rPr>
          <w:sz w:val="24"/>
          <w:szCs w:val="24"/>
          <w:lang w:val="en-US"/>
        </w:rPr>
        <w:t xml:space="preserve">to </w:t>
      </w:r>
      <w:r w:rsidR="00C47ACD" w:rsidRPr="00F26EF7">
        <w:rPr>
          <w:sz w:val="24"/>
          <w:szCs w:val="24"/>
          <w:lang w:val="en-US"/>
        </w:rPr>
        <w:t>lend 151 million U.S. dollar</w:t>
      </w:r>
      <w:r w:rsidR="00D41752" w:rsidRPr="00F26EF7">
        <w:rPr>
          <w:sz w:val="24"/>
          <w:szCs w:val="24"/>
          <w:lang w:val="en-US"/>
        </w:rPr>
        <w:t>s</w:t>
      </w:r>
      <w:r w:rsidR="00C47ACD" w:rsidRPr="00F26EF7">
        <w:rPr>
          <w:sz w:val="24"/>
          <w:szCs w:val="24"/>
          <w:lang w:val="en-US"/>
        </w:rPr>
        <w:t xml:space="preserve"> </w:t>
      </w:r>
      <w:r w:rsidR="00D41752" w:rsidRPr="00F26EF7">
        <w:rPr>
          <w:sz w:val="24"/>
          <w:szCs w:val="24"/>
          <w:lang w:val="en-US"/>
        </w:rPr>
        <w:t xml:space="preserve">in a rescue package to </w:t>
      </w:r>
      <w:r w:rsidR="00C47ACD" w:rsidRPr="00F26EF7">
        <w:rPr>
          <w:sz w:val="24"/>
          <w:szCs w:val="24"/>
          <w:lang w:val="en-US"/>
        </w:rPr>
        <w:t>help the fle</w:t>
      </w:r>
      <w:r w:rsidR="009C0F64">
        <w:rPr>
          <w:sz w:val="24"/>
          <w:szCs w:val="24"/>
          <w:lang w:val="en-US"/>
        </w:rPr>
        <w:t xml:space="preserve">dgling post-conflict country </w:t>
      </w:r>
      <w:r w:rsidR="001B3FE2" w:rsidRPr="00F26EF7">
        <w:rPr>
          <w:sz w:val="24"/>
          <w:szCs w:val="24"/>
          <w:lang w:val="en-US"/>
        </w:rPr>
        <w:t xml:space="preserve">overcome the economic and financial crisis. The </w:t>
      </w:r>
      <w:r w:rsidR="004A301C" w:rsidRPr="00F26EF7">
        <w:rPr>
          <w:sz w:val="24"/>
          <w:szCs w:val="24"/>
          <w:lang w:val="en-US"/>
        </w:rPr>
        <w:t xml:space="preserve">IMF </w:t>
      </w:r>
      <w:r w:rsidR="00D31DA6" w:rsidRPr="00F26EF7">
        <w:rPr>
          <w:sz w:val="24"/>
          <w:szCs w:val="24"/>
          <w:lang w:val="en-US"/>
        </w:rPr>
        <w:t xml:space="preserve">funding </w:t>
      </w:r>
      <w:r w:rsidR="00D41752" w:rsidRPr="00F26EF7">
        <w:rPr>
          <w:sz w:val="24"/>
          <w:szCs w:val="24"/>
          <w:lang w:val="en-US"/>
        </w:rPr>
        <w:t xml:space="preserve">helped bring to an end </w:t>
      </w:r>
      <w:r w:rsidR="001B3FE2" w:rsidRPr="00F26EF7">
        <w:rPr>
          <w:sz w:val="24"/>
          <w:szCs w:val="24"/>
          <w:lang w:val="en-US"/>
        </w:rPr>
        <w:t xml:space="preserve">the </w:t>
      </w:r>
      <w:r w:rsidR="00D41752" w:rsidRPr="00F26EF7">
        <w:rPr>
          <w:sz w:val="24"/>
          <w:szCs w:val="24"/>
          <w:lang w:val="en-US"/>
        </w:rPr>
        <w:t xml:space="preserve">ongoing anti-government </w:t>
      </w:r>
      <w:r w:rsidR="001B3FE2" w:rsidRPr="00F26EF7">
        <w:rPr>
          <w:sz w:val="24"/>
          <w:szCs w:val="24"/>
          <w:lang w:val="en-US"/>
        </w:rPr>
        <w:t xml:space="preserve">protests that had started with strike </w:t>
      </w:r>
      <w:r w:rsidR="00A4503C">
        <w:rPr>
          <w:sz w:val="24"/>
          <w:szCs w:val="24"/>
          <w:lang w:val="en-US"/>
        </w:rPr>
        <w:t xml:space="preserve">action </w:t>
      </w:r>
      <w:r w:rsidR="001B3FE2" w:rsidRPr="00F26EF7">
        <w:rPr>
          <w:sz w:val="24"/>
          <w:szCs w:val="24"/>
          <w:lang w:val="en-US"/>
        </w:rPr>
        <w:t>in the Kolu</w:t>
      </w:r>
      <w:r w:rsidR="00F444DD">
        <w:rPr>
          <w:sz w:val="24"/>
          <w:szCs w:val="24"/>
          <w:lang w:val="en-US"/>
        </w:rPr>
        <w:t>bara coalfield</w:t>
      </w:r>
      <w:r w:rsidR="001B3FE2" w:rsidRPr="00F26EF7">
        <w:rPr>
          <w:sz w:val="24"/>
          <w:szCs w:val="24"/>
          <w:lang w:val="en-US"/>
        </w:rPr>
        <w:t xml:space="preserve"> 30 miles south of Belgrade</w:t>
      </w:r>
      <w:r w:rsidR="00FA3675" w:rsidRPr="00F26EF7">
        <w:rPr>
          <w:sz w:val="24"/>
          <w:szCs w:val="24"/>
          <w:lang w:val="en-US"/>
        </w:rPr>
        <w:t xml:space="preserve">. </w:t>
      </w:r>
      <w:r w:rsidR="00700FB5">
        <w:rPr>
          <w:sz w:val="24"/>
          <w:szCs w:val="24"/>
          <w:lang w:val="en-US"/>
        </w:rPr>
        <w:t>M</w:t>
      </w:r>
      <w:r w:rsidR="00D31DA6" w:rsidRPr="00F26EF7">
        <w:rPr>
          <w:sz w:val="24"/>
          <w:szCs w:val="24"/>
          <w:lang w:val="en-US"/>
        </w:rPr>
        <w:t>any have stressed IMF lending as a cause of political turmoil</w:t>
      </w:r>
      <w:r w:rsidR="00280CB3" w:rsidRPr="00F26EF7">
        <w:rPr>
          <w:sz w:val="24"/>
          <w:szCs w:val="24"/>
          <w:lang w:val="en-US"/>
        </w:rPr>
        <w:t xml:space="preserve"> and opposition to intrusive measures</w:t>
      </w:r>
      <w:r w:rsidR="00700FB5">
        <w:rPr>
          <w:sz w:val="24"/>
          <w:szCs w:val="24"/>
          <w:lang w:val="en-US"/>
        </w:rPr>
        <w:t>. However, in Serbia</w:t>
      </w:r>
      <w:r w:rsidR="00D31DA6" w:rsidRPr="00F26EF7">
        <w:rPr>
          <w:sz w:val="24"/>
          <w:szCs w:val="24"/>
          <w:lang w:val="en-US"/>
        </w:rPr>
        <w:t>, t</w:t>
      </w:r>
      <w:r w:rsidR="00FA3675" w:rsidRPr="00F26EF7">
        <w:rPr>
          <w:sz w:val="24"/>
          <w:szCs w:val="24"/>
          <w:lang w:val="en-US"/>
        </w:rPr>
        <w:t xml:space="preserve">he anti-government protests </w:t>
      </w:r>
      <w:r w:rsidR="00B06763">
        <w:rPr>
          <w:sz w:val="24"/>
          <w:szCs w:val="24"/>
          <w:lang w:val="en-US"/>
        </w:rPr>
        <w:t>faded</w:t>
      </w:r>
      <w:r w:rsidR="00700FB5">
        <w:rPr>
          <w:sz w:val="24"/>
          <w:szCs w:val="24"/>
          <w:lang w:val="en-US"/>
        </w:rPr>
        <w:t xml:space="preserve"> after the IMF package</w:t>
      </w:r>
      <w:r w:rsidR="00B06763">
        <w:rPr>
          <w:sz w:val="24"/>
          <w:szCs w:val="24"/>
          <w:lang w:val="en-US"/>
        </w:rPr>
        <w:t>, de</w:t>
      </w:r>
      <w:r w:rsidR="00FA3675" w:rsidRPr="00F26EF7">
        <w:rPr>
          <w:sz w:val="24"/>
          <w:szCs w:val="24"/>
          <w:lang w:val="en-US"/>
        </w:rPr>
        <w:t xml:space="preserve">spite of the </w:t>
      </w:r>
      <w:r w:rsidR="005A2AB0" w:rsidRPr="00F26EF7">
        <w:rPr>
          <w:sz w:val="24"/>
          <w:szCs w:val="24"/>
          <w:lang w:val="en-US"/>
        </w:rPr>
        <w:t xml:space="preserve">strict </w:t>
      </w:r>
      <w:r w:rsidR="004A301C" w:rsidRPr="00F26EF7">
        <w:rPr>
          <w:sz w:val="24"/>
          <w:szCs w:val="24"/>
          <w:lang w:val="en-US"/>
        </w:rPr>
        <w:t xml:space="preserve">conditions </w:t>
      </w:r>
      <w:r w:rsidR="00D41752" w:rsidRPr="00F26EF7">
        <w:rPr>
          <w:sz w:val="24"/>
          <w:szCs w:val="24"/>
          <w:lang w:val="en-US"/>
        </w:rPr>
        <w:t xml:space="preserve">stipulating that the </w:t>
      </w:r>
      <w:r w:rsidR="004A301C" w:rsidRPr="00F26EF7">
        <w:rPr>
          <w:sz w:val="24"/>
          <w:szCs w:val="24"/>
          <w:lang w:val="en-US"/>
        </w:rPr>
        <w:t xml:space="preserve">new government </w:t>
      </w:r>
      <w:r w:rsidR="00D41752" w:rsidRPr="00F26EF7">
        <w:rPr>
          <w:sz w:val="24"/>
          <w:szCs w:val="24"/>
          <w:lang w:val="en-US"/>
        </w:rPr>
        <w:t xml:space="preserve">must </w:t>
      </w:r>
      <w:r w:rsidR="00FA3675" w:rsidRPr="00F26EF7">
        <w:rPr>
          <w:sz w:val="24"/>
          <w:szCs w:val="24"/>
          <w:lang w:val="en-US"/>
        </w:rPr>
        <w:t xml:space="preserve">impose austerity measures and </w:t>
      </w:r>
      <w:r w:rsidR="002D272A">
        <w:rPr>
          <w:sz w:val="24"/>
          <w:szCs w:val="24"/>
          <w:lang w:val="en-US"/>
        </w:rPr>
        <w:t xml:space="preserve">take steps to </w:t>
      </w:r>
      <w:r w:rsidR="004A301C" w:rsidRPr="00F26EF7">
        <w:rPr>
          <w:sz w:val="24"/>
          <w:szCs w:val="24"/>
          <w:lang w:val="en-US"/>
        </w:rPr>
        <w:t>liberalize the economy.</w:t>
      </w:r>
      <w:r w:rsidR="004061E7" w:rsidRPr="00F26EF7">
        <w:rPr>
          <w:sz w:val="24"/>
          <w:szCs w:val="24"/>
          <w:lang w:val="en-US"/>
        </w:rPr>
        <w:t xml:space="preserve"> </w:t>
      </w:r>
      <w:r w:rsidR="004A301C" w:rsidRPr="00F26EF7">
        <w:rPr>
          <w:sz w:val="24"/>
          <w:szCs w:val="24"/>
          <w:lang w:val="en-US"/>
        </w:rPr>
        <w:t xml:space="preserve">This </w:t>
      </w:r>
      <w:r w:rsidR="00D4646A" w:rsidRPr="00F26EF7">
        <w:rPr>
          <w:sz w:val="24"/>
          <w:szCs w:val="24"/>
          <w:lang w:val="en-US"/>
        </w:rPr>
        <w:t>crisis scenario</w:t>
      </w:r>
      <w:r w:rsidR="004A301C" w:rsidRPr="00F26EF7">
        <w:rPr>
          <w:sz w:val="24"/>
          <w:szCs w:val="24"/>
          <w:lang w:val="en-US"/>
        </w:rPr>
        <w:t xml:space="preserve"> runs counter to c</w:t>
      </w:r>
      <w:r w:rsidR="00616D86" w:rsidRPr="00F26EF7">
        <w:rPr>
          <w:sz w:val="24"/>
          <w:szCs w:val="24"/>
          <w:lang w:val="en-US"/>
        </w:rPr>
        <w:t>lassic t</w:t>
      </w:r>
      <w:r w:rsidR="00D4646A" w:rsidRPr="00F26EF7">
        <w:rPr>
          <w:sz w:val="24"/>
          <w:szCs w:val="24"/>
          <w:lang w:val="en-US"/>
        </w:rPr>
        <w:t xml:space="preserve">heories of </w:t>
      </w:r>
      <w:r w:rsidR="00984444">
        <w:rPr>
          <w:sz w:val="24"/>
          <w:szCs w:val="24"/>
          <w:lang w:val="en-US"/>
        </w:rPr>
        <w:t xml:space="preserve">crises and political conflict </w:t>
      </w:r>
      <w:r w:rsidR="004A301C" w:rsidRPr="00F26EF7">
        <w:rPr>
          <w:sz w:val="24"/>
          <w:szCs w:val="24"/>
          <w:lang w:val="en-US"/>
        </w:rPr>
        <w:t xml:space="preserve">and to current </w:t>
      </w:r>
      <w:r w:rsidR="00EA5BE3">
        <w:rPr>
          <w:sz w:val="24"/>
          <w:szCs w:val="24"/>
          <w:lang w:val="en-US"/>
        </w:rPr>
        <w:t xml:space="preserve">arguments by IMF critics </w:t>
      </w:r>
      <w:r w:rsidR="004A301C" w:rsidRPr="00F26EF7">
        <w:rPr>
          <w:sz w:val="24"/>
          <w:szCs w:val="24"/>
          <w:lang w:val="en-US"/>
        </w:rPr>
        <w:t xml:space="preserve">that </w:t>
      </w:r>
      <w:r w:rsidR="00D4646A" w:rsidRPr="00F26EF7">
        <w:rPr>
          <w:sz w:val="24"/>
          <w:szCs w:val="24"/>
          <w:lang w:val="en-US"/>
        </w:rPr>
        <w:t xml:space="preserve">see </w:t>
      </w:r>
      <w:r w:rsidR="00955B37">
        <w:rPr>
          <w:sz w:val="24"/>
          <w:szCs w:val="24"/>
          <w:lang w:val="en-US"/>
        </w:rPr>
        <w:t xml:space="preserve">its programs and </w:t>
      </w:r>
      <w:r w:rsidR="00D55B13" w:rsidRPr="00F26EF7">
        <w:rPr>
          <w:sz w:val="24"/>
          <w:szCs w:val="24"/>
          <w:lang w:val="en-US"/>
        </w:rPr>
        <w:t xml:space="preserve">conditional lending </w:t>
      </w:r>
      <w:r w:rsidR="00FA3675" w:rsidRPr="00F26EF7">
        <w:rPr>
          <w:sz w:val="24"/>
          <w:szCs w:val="24"/>
          <w:lang w:val="en-US"/>
        </w:rPr>
        <w:t xml:space="preserve">during economic crises as a key driver of social unrest and </w:t>
      </w:r>
      <w:r w:rsidR="00D55B13" w:rsidRPr="00F26EF7">
        <w:rPr>
          <w:sz w:val="24"/>
          <w:szCs w:val="24"/>
          <w:lang w:val="en-US"/>
        </w:rPr>
        <w:t>conflict</w:t>
      </w:r>
      <w:r w:rsidR="004A301C" w:rsidRPr="00F26EF7">
        <w:rPr>
          <w:sz w:val="24"/>
          <w:szCs w:val="24"/>
          <w:lang w:val="en-US"/>
        </w:rPr>
        <w:t xml:space="preserve">. </w:t>
      </w:r>
      <w:r w:rsidR="00F9751D" w:rsidRPr="00F26EF7">
        <w:rPr>
          <w:sz w:val="24"/>
          <w:szCs w:val="24"/>
          <w:lang w:val="en-US"/>
        </w:rPr>
        <w:t>W</w:t>
      </w:r>
      <w:r w:rsidR="004A301C" w:rsidRPr="00F26EF7">
        <w:rPr>
          <w:sz w:val="24"/>
          <w:szCs w:val="24"/>
          <w:lang w:val="en-US"/>
        </w:rPr>
        <w:t>e argue in this article</w:t>
      </w:r>
      <w:r w:rsidR="00F9751D" w:rsidRPr="00F26EF7">
        <w:rPr>
          <w:sz w:val="24"/>
          <w:szCs w:val="24"/>
          <w:lang w:val="en-US"/>
        </w:rPr>
        <w:t xml:space="preserve"> that </w:t>
      </w:r>
      <w:r w:rsidR="0038130E" w:rsidRPr="00F26EF7">
        <w:rPr>
          <w:sz w:val="24"/>
          <w:szCs w:val="24"/>
          <w:lang w:val="en-US"/>
        </w:rPr>
        <w:t xml:space="preserve">many </w:t>
      </w:r>
      <w:r w:rsidR="00D55B13" w:rsidRPr="00F26EF7">
        <w:rPr>
          <w:sz w:val="24"/>
          <w:szCs w:val="24"/>
          <w:lang w:val="en-US"/>
        </w:rPr>
        <w:t xml:space="preserve">conjectures about the role of the IMF </w:t>
      </w:r>
      <w:r w:rsidR="0038130E" w:rsidRPr="00F26EF7">
        <w:rPr>
          <w:sz w:val="24"/>
          <w:szCs w:val="24"/>
          <w:lang w:val="en-US"/>
        </w:rPr>
        <w:t xml:space="preserve">in promoting conflict after </w:t>
      </w:r>
      <w:r w:rsidR="00D55B13" w:rsidRPr="00F26EF7">
        <w:rPr>
          <w:sz w:val="24"/>
          <w:szCs w:val="24"/>
          <w:lang w:val="en-US"/>
        </w:rPr>
        <w:t xml:space="preserve">financial crises </w:t>
      </w:r>
      <w:r w:rsidR="0038130E" w:rsidRPr="00F26EF7">
        <w:rPr>
          <w:sz w:val="24"/>
          <w:szCs w:val="24"/>
          <w:lang w:val="en-US"/>
        </w:rPr>
        <w:t xml:space="preserve">overstate </w:t>
      </w:r>
      <w:r w:rsidR="00D55B13" w:rsidRPr="00F26EF7">
        <w:rPr>
          <w:sz w:val="24"/>
          <w:szCs w:val="24"/>
          <w:lang w:val="en-US"/>
        </w:rPr>
        <w:t xml:space="preserve">the </w:t>
      </w:r>
      <w:r w:rsidR="00CC7CE5">
        <w:rPr>
          <w:sz w:val="24"/>
          <w:szCs w:val="24"/>
          <w:lang w:val="en-US"/>
        </w:rPr>
        <w:t xml:space="preserve">direct </w:t>
      </w:r>
      <w:r w:rsidR="00D55B13" w:rsidRPr="00F26EF7">
        <w:rPr>
          <w:sz w:val="24"/>
          <w:szCs w:val="24"/>
          <w:lang w:val="en-US"/>
        </w:rPr>
        <w:t xml:space="preserve">negative effect of the politics of conditionality </w:t>
      </w:r>
      <w:r w:rsidR="00993B2D" w:rsidRPr="00F26EF7">
        <w:rPr>
          <w:sz w:val="24"/>
          <w:szCs w:val="24"/>
          <w:lang w:val="en-US"/>
        </w:rPr>
        <w:t xml:space="preserve">and </w:t>
      </w:r>
      <w:r w:rsidR="00D4646A" w:rsidRPr="00F26EF7">
        <w:rPr>
          <w:sz w:val="24"/>
          <w:szCs w:val="24"/>
          <w:lang w:val="en-US"/>
        </w:rPr>
        <w:t xml:space="preserve">fail to </w:t>
      </w:r>
      <w:r w:rsidR="00993B2D" w:rsidRPr="00F26EF7">
        <w:rPr>
          <w:sz w:val="24"/>
          <w:szCs w:val="24"/>
          <w:lang w:val="en-US"/>
        </w:rPr>
        <w:t xml:space="preserve">appreciate </w:t>
      </w:r>
      <w:r w:rsidR="00D4646A" w:rsidRPr="00F26EF7">
        <w:rPr>
          <w:sz w:val="24"/>
          <w:szCs w:val="24"/>
          <w:lang w:val="en-US"/>
        </w:rPr>
        <w:t xml:space="preserve">the </w:t>
      </w:r>
      <w:r w:rsidR="00993B2D" w:rsidRPr="00F26EF7">
        <w:rPr>
          <w:sz w:val="24"/>
          <w:szCs w:val="24"/>
          <w:lang w:val="en-US"/>
        </w:rPr>
        <w:t xml:space="preserve">overall </w:t>
      </w:r>
      <w:r w:rsidR="00D55B13" w:rsidRPr="00F26EF7">
        <w:rPr>
          <w:sz w:val="24"/>
          <w:szCs w:val="24"/>
          <w:lang w:val="en-US"/>
        </w:rPr>
        <w:t xml:space="preserve">Keynesian logic of the </w:t>
      </w:r>
      <w:r w:rsidR="00993B2D" w:rsidRPr="00F26EF7">
        <w:rPr>
          <w:sz w:val="24"/>
          <w:szCs w:val="24"/>
          <w:lang w:val="en-US"/>
        </w:rPr>
        <w:t xml:space="preserve">more recent </w:t>
      </w:r>
      <w:r w:rsidR="00D4646A" w:rsidRPr="00F26EF7">
        <w:rPr>
          <w:sz w:val="24"/>
          <w:szCs w:val="24"/>
          <w:lang w:val="en-US"/>
        </w:rPr>
        <w:t xml:space="preserve">crisis </w:t>
      </w:r>
      <w:r w:rsidR="00993B2D" w:rsidRPr="00F26EF7">
        <w:rPr>
          <w:sz w:val="24"/>
          <w:szCs w:val="24"/>
          <w:lang w:val="en-US"/>
        </w:rPr>
        <w:t>interventions</w:t>
      </w:r>
      <w:r w:rsidR="00D4646A" w:rsidRPr="00F26EF7">
        <w:rPr>
          <w:sz w:val="24"/>
          <w:szCs w:val="24"/>
          <w:lang w:val="en-US"/>
        </w:rPr>
        <w:t xml:space="preserve">. </w:t>
      </w:r>
      <w:r w:rsidR="004A301C" w:rsidRPr="00F26EF7">
        <w:rPr>
          <w:sz w:val="24"/>
          <w:szCs w:val="24"/>
          <w:lang w:val="en-US"/>
        </w:rPr>
        <w:t xml:space="preserve">We contend </w:t>
      </w:r>
      <w:r w:rsidR="004061E7" w:rsidRPr="00F26EF7">
        <w:rPr>
          <w:sz w:val="24"/>
          <w:szCs w:val="24"/>
          <w:lang w:val="en-US"/>
        </w:rPr>
        <w:t xml:space="preserve">that </w:t>
      </w:r>
      <w:r w:rsidR="00E71016">
        <w:rPr>
          <w:sz w:val="24"/>
          <w:szCs w:val="24"/>
          <w:lang w:val="en-US"/>
        </w:rPr>
        <w:t xml:space="preserve">contributions to </w:t>
      </w:r>
      <w:r w:rsidR="00993B2D" w:rsidRPr="00F26EF7">
        <w:rPr>
          <w:sz w:val="24"/>
          <w:szCs w:val="24"/>
          <w:lang w:val="en-US"/>
        </w:rPr>
        <w:t xml:space="preserve">the management of financial crises by the international financial community </w:t>
      </w:r>
      <w:r w:rsidR="004061E7" w:rsidRPr="00F26EF7">
        <w:rPr>
          <w:sz w:val="24"/>
          <w:szCs w:val="24"/>
          <w:lang w:val="en-US"/>
        </w:rPr>
        <w:t xml:space="preserve">can actually lower the risk of </w:t>
      </w:r>
      <w:r w:rsidR="0020613C" w:rsidRPr="00F26EF7">
        <w:rPr>
          <w:sz w:val="24"/>
          <w:szCs w:val="24"/>
          <w:lang w:val="en-US"/>
        </w:rPr>
        <w:t xml:space="preserve">more disruptive </w:t>
      </w:r>
      <w:r w:rsidR="00E71016">
        <w:rPr>
          <w:sz w:val="24"/>
          <w:szCs w:val="24"/>
          <w:lang w:val="en-US"/>
        </w:rPr>
        <w:t xml:space="preserve">domestic </w:t>
      </w:r>
      <w:r w:rsidR="004061E7" w:rsidRPr="00F26EF7">
        <w:rPr>
          <w:sz w:val="24"/>
          <w:szCs w:val="24"/>
          <w:lang w:val="en-US"/>
        </w:rPr>
        <w:t xml:space="preserve">conflict, once we take into account </w:t>
      </w:r>
      <w:r w:rsidR="00CC7CE5">
        <w:rPr>
          <w:sz w:val="24"/>
          <w:szCs w:val="24"/>
          <w:lang w:val="en-US"/>
        </w:rPr>
        <w:t xml:space="preserve">how </w:t>
      </w:r>
      <w:r w:rsidR="009D2319" w:rsidRPr="00F26EF7">
        <w:rPr>
          <w:sz w:val="24"/>
          <w:szCs w:val="24"/>
          <w:lang w:val="en-US"/>
        </w:rPr>
        <w:t xml:space="preserve">IMF </w:t>
      </w:r>
      <w:r w:rsidR="004061E7" w:rsidRPr="00F26EF7">
        <w:rPr>
          <w:sz w:val="24"/>
          <w:szCs w:val="24"/>
          <w:lang w:val="en-US"/>
        </w:rPr>
        <w:t xml:space="preserve">interventions </w:t>
      </w:r>
      <w:r w:rsidR="009D2319" w:rsidRPr="00F26EF7">
        <w:rPr>
          <w:sz w:val="24"/>
          <w:szCs w:val="24"/>
          <w:lang w:val="en-US"/>
        </w:rPr>
        <w:t xml:space="preserve">are endogenous and are more likely to </w:t>
      </w:r>
      <w:r w:rsidR="004061E7" w:rsidRPr="00F26EF7">
        <w:rPr>
          <w:sz w:val="24"/>
          <w:szCs w:val="24"/>
          <w:lang w:val="en-US"/>
        </w:rPr>
        <w:t xml:space="preserve">occur </w:t>
      </w:r>
      <w:r w:rsidR="0020613C" w:rsidRPr="00F26EF7">
        <w:rPr>
          <w:sz w:val="24"/>
          <w:szCs w:val="24"/>
          <w:lang w:val="en-US"/>
        </w:rPr>
        <w:t xml:space="preserve">precisely </w:t>
      </w:r>
      <w:r w:rsidR="004061E7" w:rsidRPr="00F26EF7">
        <w:rPr>
          <w:sz w:val="24"/>
          <w:szCs w:val="24"/>
          <w:lang w:val="en-US"/>
        </w:rPr>
        <w:t xml:space="preserve">during crises when the risk of conflict </w:t>
      </w:r>
      <w:r w:rsidR="0075623E">
        <w:rPr>
          <w:sz w:val="24"/>
          <w:szCs w:val="24"/>
          <w:lang w:val="en-US"/>
        </w:rPr>
        <w:t xml:space="preserve">will be </w:t>
      </w:r>
      <w:r w:rsidR="004061E7" w:rsidRPr="00F26EF7">
        <w:rPr>
          <w:sz w:val="24"/>
          <w:szCs w:val="24"/>
          <w:lang w:val="en-US"/>
        </w:rPr>
        <w:t>higher</w:t>
      </w:r>
      <w:r w:rsidR="00993B2D" w:rsidRPr="00F26EF7">
        <w:rPr>
          <w:sz w:val="24"/>
          <w:szCs w:val="24"/>
          <w:lang w:val="en-US"/>
        </w:rPr>
        <w:t xml:space="preserve"> in the first place</w:t>
      </w:r>
      <w:r w:rsidR="004061E7" w:rsidRPr="00F26EF7">
        <w:rPr>
          <w:sz w:val="24"/>
          <w:szCs w:val="24"/>
          <w:lang w:val="en-US"/>
        </w:rPr>
        <w:t xml:space="preserve">. </w:t>
      </w:r>
    </w:p>
    <w:p w14:paraId="797E01E9" w14:textId="752DBCCC" w:rsidR="00F405BC" w:rsidRPr="00F26EF7" w:rsidRDefault="00451C6E" w:rsidP="0020613C">
      <w:pPr>
        <w:rPr>
          <w:lang w:val="en-US"/>
        </w:rPr>
      </w:pPr>
      <w:r w:rsidRPr="00F26EF7">
        <w:rPr>
          <w:sz w:val="24"/>
          <w:szCs w:val="24"/>
          <w:lang w:val="en-US"/>
        </w:rPr>
        <w:t>T</w:t>
      </w:r>
      <w:r w:rsidR="009D2319" w:rsidRPr="00F26EF7">
        <w:rPr>
          <w:sz w:val="24"/>
          <w:szCs w:val="24"/>
          <w:lang w:val="en-US"/>
        </w:rPr>
        <w:t xml:space="preserve">he role of </w:t>
      </w:r>
      <w:r w:rsidRPr="00F26EF7">
        <w:rPr>
          <w:sz w:val="24"/>
          <w:szCs w:val="24"/>
          <w:lang w:val="en-US"/>
        </w:rPr>
        <w:t xml:space="preserve">international finance before and after economic crises has held a central place in the analysis of social conflict. </w:t>
      </w:r>
      <w:r w:rsidR="00D4646A" w:rsidRPr="00F26EF7">
        <w:rPr>
          <w:sz w:val="24"/>
          <w:szCs w:val="24"/>
          <w:lang w:val="en-US"/>
        </w:rPr>
        <w:t xml:space="preserve">Marx and Engels (1848) </w:t>
      </w:r>
      <w:r w:rsidR="00C1380F" w:rsidRPr="00F26EF7">
        <w:rPr>
          <w:sz w:val="24"/>
          <w:szCs w:val="24"/>
          <w:lang w:val="en-US"/>
        </w:rPr>
        <w:t xml:space="preserve">famously </w:t>
      </w:r>
      <w:r w:rsidR="007A5F31" w:rsidRPr="00F26EF7">
        <w:rPr>
          <w:sz w:val="24"/>
          <w:szCs w:val="24"/>
          <w:lang w:val="en-US"/>
        </w:rPr>
        <w:t xml:space="preserve">maintain </w:t>
      </w:r>
      <w:r w:rsidR="00F8435C">
        <w:rPr>
          <w:sz w:val="24"/>
          <w:szCs w:val="24"/>
          <w:lang w:val="en-US"/>
        </w:rPr>
        <w:t>in the</w:t>
      </w:r>
      <w:r w:rsidR="00D4646A" w:rsidRPr="00F26EF7">
        <w:rPr>
          <w:sz w:val="24"/>
          <w:szCs w:val="24"/>
          <w:lang w:val="en-US"/>
        </w:rPr>
        <w:t xml:space="preserve"> </w:t>
      </w:r>
      <w:r w:rsidR="00D4646A" w:rsidRPr="00F26EF7">
        <w:rPr>
          <w:i/>
          <w:sz w:val="24"/>
          <w:szCs w:val="24"/>
          <w:lang w:val="en-US"/>
        </w:rPr>
        <w:t>Communist Manifesto</w:t>
      </w:r>
      <w:r w:rsidR="00D4646A" w:rsidRPr="00F26EF7">
        <w:rPr>
          <w:sz w:val="24"/>
          <w:szCs w:val="24"/>
          <w:lang w:val="en-US"/>
        </w:rPr>
        <w:t xml:space="preserve"> that social conflict </w:t>
      </w:r>
      <w:r w:rsidR="00F8435C">
        <w:rPr>
          <w:sz w:val="24"/>
          <w:szCs w:val="24"/>
          <w:lang w:val="en-US"/>
        </w:rPr>
        <w:t xml:space="preserve">will arise in </w:t>
      </w:r>
      <w:r w:rsidR="00D4646A" w:rsidRPr="00F26EF7">
        <w:rPr>
          <w:sz w:val="24"/>
          <w:szCs w:val="24"/>
          <w:lang w:val="en-US"/>
        </w:rPr>
        <w:t xml:space="preserve">the aftermath of the inevitable recessions </w:t>
      </w:r>
      <w:r w:rsidR="00DE69E1" w:rsidRPr="00F26EF7">
        <w:rPr>
          <w:sz w:val="24"/>
          <w:szCs w:val="24"/>
          <w:lang w:val="en-US"/>
        </w:rPr>
        <w:t xml:space="preserve">brought about by a </w:t>
      </w:r>
      <w:r w:rsidR="0075623E">
        <w:rPr>
          <w:sz w:val="24"/>
          <w:szCs w:val="24"/>
          <w:lang w:val="en-US"/>
        </w:rPr>
        <w:t xml:space="preserve">volatile </w:t>
      </w:r>
      <w:r w:rsidR="00D4646A" w:rsidRPr="00F26EF7">
        <w:rPr>
          <w:sz w:val="24"/>
          <w:szCs w:val="24"/>
          <w:lang w:val="en-US"/>
        </w:rPr>
        <w:t xml:space="preserve">capitalist economy. Deprivation theorists expect that </w:t>
      </w:r>
      <w:r w:rsidR="0075623E">
        <w:rPr>
          <w:sz w:val="24"/>
          <w:szCs w:val="24"/>
          <w:lang w:val="en-US"/>
        </w:rPr>
        <w:t xml:space="preserve">those who suffer during </w:t>
      </w:r>
      <w:r w:rsidR="00D4646A" w:rsidRPr="00F26EF7">
        <w:rPr>
          <w:sz w:val="24"/>
          <w:szCs w:val="24"/>
          <w:lang w:val="en-US"/>
        </w:rPr>
        <w:t xml:space="preserve">in </w:t>
      </w:r>
      <w:r w:rsidR="00F230FA" w:rsidRPr="00F26EF7">
        <w:rPr>
          <w:sz w:val="24"/>
          <w:szCs w:val="24"/>
          <w:lang w:val="en-US"/>
        </w:rPr>
        <w:t>economic</w:t>
      </w:r>
      <w:r w:rsidR="00DE69E1" w:rsidRPr="00F26EF7">
        <w:rPr>
          <w:sz w:val="24"/>
          <w:szCs w:val="24"/>
          <w:lang w:val="en-US"/>
        </w:rPr>
        <w:t xml:space="preserve"> crise</w:t>
      </w:r>
      <w:r w:rsidR="00D4646A" w:rsidRPr="00F26EF7">
        <w:rPr>
          <w:sz w:val="24"/>
          <w:szCs w:val="24"/>
          <w:lang w:val="en-US"/>
        </w:rPr>
        <w:t>s will channel their anger into political mobilization (Davies 1962, Gurr 1970)</w:t>
      </w:r>
      <w:r w:rsidR="00C1380F" w:rsidRPr="00F26EF7">
        <w:rPr>
          <w:sz w:val="24"/>
          <w:szCs w:val="24"/>
          <w:lang w:val="en-US"/>
        </w:rPr>
        <w:t xml:space="preserve">, and sociological theories of conflict </w:t>
      </w:r>
      <w:r w:rsidR="00D15E01">
        <w:rPr>
          <w:sz w:val="24"/>
          <w:szCs w:val="24"/>
          <w:lang w:val="en-US"/>
        </w:rPr>
        <w:t xml:space="preserve">highlight how </w:t>
      </w:r>
      <w:r w:rsidR="00C1380F" w:rsidRPr="00F26EF7">
        <w:rPr>
          <w:sz w:val="24"/>
          <w:szCs w:val="24"/>
          <w:lang w:val="en-US"/>
        </w:rPr>
        <w:t xml:space="preserve">power relationships </w:t>
      </w:r>
      <w:r w:rsidR="0075623E">
        <w:rPr>
          <w:sz w:val="24"/>
          <w:szCs w:val="24"/>
          <w:lang w:val="en-US"/>
        </w:rPr>
        <w:t xml:space="preserve">that </w:t>
      </w:r>
      <w:r w:rsidR="00C1380F" w:rsidRPr="00F26EF7">
        <w:rPr>
          <w:sz w:val="24"/>
          <w:szCs w:val="24"/>
          <w:lang w:val="en-US"/>
        </w:rPr>
        <w:t xml:space="preserve">mediate conflict between competing social groups </w:t>
      </w:r>
      <w:r w:rsidR="00E71016">
        <w:rPr>
          <w:sz w:val="24"/>
          <w:szCs w:val="24"/>
          <w:lang w:val="en-US"/>
        </w:rPr>
        <w:t xml:space="preserve">can </w:t>
      </w:r>
      <w:r w:rsidR="0075623E">
        <w:rPr>
          <w:sz w:val="24"/>
          <w:szCs w:val="24"/>
          <w:lang w:val="en-US"/>
        </w:rPr>
        <w:t xml:space="preserve">be disrupted during crises </w:t>
      </w:r>
      <w:r w:rsidR="00C1380F" w:rsidRPr="00F26EF7">
        <w:rPr>
          <w:sz w:val="24"/>
          <w:szCs w:val="24"/>
          <w:lang w:val="en-US"/>
        </w:rPr>
        <w:t xml:space="preserve">(Dahrendorf 1959). </w:t>
      </w:r>
      <w:r w:rsidR="00D4646A" w:rsidRPr="00F26EF7">
        <w:rPr>
          <w:sz w:val="24"/>
          <w:szCs w:val="24"/>
          <w:lang w:val="en-US"/>
        </w:rPr>
        <w:t xml:space="preserve">Political economists </w:t>
      </w:r>
      <w:r w:rsidR="00C1380F" w:rsidRPr="00F26EF7">
        <w:rPr>
          <w:sz w:val="24"/>
          <w:szCs w:val="24"/>
          <w:lang w:val="en-US"/>
        </w:rPr>
        <w:t xml:space="preserve">similarly maintain </w:t>
      </w:r>
      <w:r w:rsidR="00D4646A" w:rsidRPr="00F26EF7">
        <w:rPr>
          <w:sz w:val="24"/>
          <w:szCs w:val="24"/>
          <w:lang w:val="en-US"/>
        </w:rPr>
        <w:t xml:space="preserve">that mobilization and </w:t>
      </w:r>
      <w:r w:rsidR="00F230FA" w:rsidRPr="00F26EF7">
        <w:rPr>
          <w:sz w:val="24"/>
          <w:szCs w:val="24"/>
          <w:lang w:val="en-US"/>
        </w:rPr>
        <w:t xml:space="preserve">distributional </w:t>
      </w:r>
      <w:r w:rsidR="00D4646A" w:rsidRPr="00F26EF7">
        <w:rPr>
          <w:sz w:val="24"/>
          <w:szCs w:val="24"/>
          <w:lang w:val="en-US"/>
        </w:rPr>
        <w:t xml:space="preserve">conflict </w:t>
      </w:r>
      <w:r w:rsidR="00F230FA" w:rsidRPr="00F26EF7">
        <w:rPr>
          <w:sz w:val="24"/>
          <w:szCs w:val="24"/>
          <w:lang w:val="en-US"/>
        </w:rPr>
        <w:t xml:space="preserve">between </w:t>
      </w:r>
      <w:r w:rsidR="00D4646A" w:rsidRPr="00F26EF7">
        <w:rPr>
          <w:sz w:val="24"/>
          <w:szCs w:val="24"/>
          <w:lang w:val="en-US"/>
        </w:rPr>
        <w:t xml:space="preserve">contending groups over who should shoulder the pain of adjustment </w:t>
      </w:r>
      <w:r w:rsidR="00F230FA" w:rsidRPr="00F26EF7">
        <w:rPr>
          <w:sz w:val="24"/>
          <w:szCs w:val="24"/>
          <w:lang w:val="en-US"/>
        </w:rPr>
        <w:t xml:space="preserve">will </w:t>
      </w:r>
      <w:r w:rsidR="0075623E">
        <w:rPr>
          <w:sz w:val="24"/>
          <w:szCs w:val="24"/>
          <w:lang w:val="en-US"/>
        </w:rPr>
        <w:t xml:space="preserve">figure prominently, and often may </w:t>
      </w:r>
      <w:r w:rsidR="00F230FA" w:rsidRPr="00F26EF7">
        <w:rPr>
          <w:sz w:val="24"/>
          <w:szCs w:val="24"/>
          <w:lang w:val="en-US"/>
        </w:rPr>
        <w:t>prevent</w:t>
      </w:r>
      <w:r w:rsidR="00D4646A" w:rsidRPr="00F26EF7">
        <w:rPr>
          <w:sz w:val="24"/>
          <w:szCs w:val="24"/>
          <w:lang w:val="en-US"/>
        </w:rPr>
        <w:t xml:space="preserve"> societies from introducing </w:t>
      </w:r>
      <w:r w:rsidR="0075623E">
        <w:rPr>
          <w:sz w:val="24"/>
          <w:szCs w:val="24"/>
          <w:lang w:val="en-US"/>
        </w:rPr>
        <w:t xml:space="preserve">the </w:t>
      </w:r>
      <w:r w:rsidR="00D4646A" w:rsidRPr="00F26EF7">
        <w:rPr>
          <w:sz w:val="24"/>
          <w:szCs w:val="24"/>
          <w:lang w:val="en-US"/>
        </w:rPr>
        <w:t xml:space="preserve">necessary reforms (Alesina and Drazen 1991). </w:t>
      </w:r>
    </w:p>
    <w:p w14:paraId="721C454C" w14:textId="0681EAE9" w:rsidR="00F405BC" w:rsidRPr="00F26EF7" w:rsidRDefault="00D4646A">
      <w:pPr>
        <w:rPr>
          <w:sz w:val="24"/>
          <w:szCs w:val="24"/>
          <w:lang w:val="en-US"/>
        </w:rPr>
      </w:pPr>
      <w:r w:rsidRPr="00F26EF7">
        <w:rPr>
          <w:sz w:val="24"/>
          <w:szCs w:val="24"/>
          <w:lang w:val="en-US"/>
        </w:rPr>
        <w:lastRenderedPageBreak/>
        <w:t xml:space="preserve">There </w:t>
      </w:r>
      <w:r w:rsidR="00D15E01">
        <w:rPr>
          <w:sz w:val="24"/>
          <w:szCs w:val="24"/>
          <w:lang w:val="en-US"/>
        </w:rPr>
        <w:t xml:space="preserve">are many historical </w:t>
      </w:r>
      <w:r w:rsidR="00DE69E1" w:rsidRPr="00F26EF7">
        <w:rPr>
          <w:sz w:val="24"/>
          <w:szCs w:val="24"/>
          <w:lang w:val="en-US"/>
        </w:rPr>
        <w:t xml:space="preserve">examples where </w:t>
      </w:r>
      <w:r w:rsidRPr="00F26EF7">
        <w:rPr>
          <w:sz w:val="24"/>
          <w:szCs w:val="24"/>
          <w:lang w:val="en-US"/>
        </w:rPr>
        <w:t xml:space="preserve">severe economic downturns </w:t>
      </w:r>
      <w:r w:rsidR="00DE69E1" w:rsidRPr="00F26EF7">
        <w:rPr>
          <w:sz w:val="24"/>
          <w:szCs w:val="24"/>
          <w:lang w:val="en-US"/>
        </w:rPr>
        <w:t xml:space="preserve">appear to have </w:t>
      </w:r>
      <w:r w:rsidR="00204E6D" w:rsidRPr="00F26EF7">
        <w:rPr>
          <w:sz w:val="24"/>
          <w:szCs w:val="24"/>
          <w:lang w:val="en-US"/>
        </w:rPr>
        <w:t>spark</w:t>
      </w:r>
      <w:r w:rsidR="00DE69E1" w:rsidRPr="00F26EF7">
        <w:rPr>
          <w:sz w:val="24"/>
          <w:szCs w:val="24"/>
          <w:lang w:val="en-US"/>
        </w:rPr>
        <w:t>ed</w:t>
      </w:r>
      <w:r w:rsidR="00204E6D" w:rsidRPr="00F26EF7">
        <w:rPr>
          <w:sz w:val="24"/>
          <w:szCs w:val="24"/>
          <w:lang w:val="en-US"/>
        </w:rPr>
        <w:t xml:space="preserve"> mass mobilization</w:t>
      </w:r>
      <w:r w:rsidR="00D15E01">
        <w:rPr>
          <w:sz w:val="24"/>
          <w:szCs w:val="24"/>
          <w:lang w:val="en-US"/>
        </w:rPr>
        <w:t xml:space="preserve"> and conflict</w:t>
      </w:r>
      <w:r w:rsidRPr="00F26EF7">
        <w:rPr>
          <w:sz w:val="24"/>
          <w:szCs w:val="24"/>
          <w:lang w:val="en-US"/>
        </w:rPr>
        <w:t xml:space="preserve">. The Great Depression </w:t>
      </w:r>
      <w:r w:rsidR="003B0629">
        <w:rPr>
          <w:sz w:val="24"/>
          <w:szCs w:val="24"/>
          <w:lang w:val="en-US"/>
        </w:rPr>
        <w:t xml:space="preserve">in the 1930s </w:t>
      </w:r>
      <w:r w:rsidRPr="00F26EF7">
        <w:rPr>
          <w:sz w:val="24"/>
          <w:szCs w:val="24"/>
          <w:lang w:val="en-US"/>
        </w:rPr>
        <w:t xml:space="preserve">activated </w:t>
      </w:r>
      <w:r w:rsidR="0075623E">
        <w:rPr>
          <w:sz w:val="24"/>
          <w:szCs w:val="24"/>
          <w:lang w:val="en-US"/>
        </w:rPr>
        <w:t xml:space="preserve">both </w:t>
      </w:r>
      <w:r w:rsidRPr="00F26EF7">
        <w:rPr>
          <w:sz w:val="24"/>
          <w:szCs w:val="24"/>
          <w:lang w:val="en-US"/>
        </w:rPr>
        <w:t>left and right-wing groups around the globe</w:t>
      </w:r>
      <w:r w:rsidR="00204E6D" w:rsidRPr="00F26EF7">
        <w:rPr>
          <w:sz w:val="24"/>
          <w:szCs w:val="24"/>
          <w:lang w:val="en-US"/>
        </w:rPr>
        <w:t>,</w:t>
      </w:r>
      <w:r w:rsidRPr="00F26EF7">
        <w:rPr>
          <w:sz w:val="24"/>
          <w:szCs w:val="24"/>
          <w:lang w:val="en-US"/>
        </w:rPr>
        <w:t xml:space="preserve"> and contributed significantly to the rise of fascism (de Bromhead, E</w:t>
      </w:r>
      <w:r w:rsidR="003B0629">
        <w:rPr>
          <w:sz w:val="24"/>
          <w:szCs w:val="24"/>
          <w:lang w:val="en-US"/>
        </w:rPr>
        <w:t xml:space="preserve">ichengreen and O´Rourke 2014). Towards the end of the Cold War, Socialist </w:t>
      </w:r>
      <w:r w:rsidRPr="00F26EF7">
        <w:rPr>
          <w:sz w:val="24"/>
          <w:szCs w:val="24"/>
          <w:lang w:val="en-US"/>
        </w:rPr>
        <w:t xml:space="preserve">governments </w:t>
      </w:r>
      <w:r w:rsidR="003B0629">
        <w:rPr>
          <w:sz w:val="24"/>
          <w:szCs w:val="24"/>
          <w:lang w:val="en-US"/>
        </w:rPr>
        <w:t xml:space="preserve">in the Warsaw Pact countries </w:t>
      </w:r>
      <w:r w:rsidRPr="00F26EF7">
        <w:rPr>
          <w:sz w:val="24"/>
          <w:szCs w:val="24"/>
          <w:lang w:val="en-US"/>
        </w:rPr>
        <w:t xml:space="preserve">collapsed </w:t>
      </w:r>
      <w:r w:rsidR="003B0629">
        <w:rPr>
          <w:sz w:val="24"/>
          <w:szCs w:val="24"/>
          <w:lang w:val="en-US"/>
        </w:rPr>
        <w:t xml:space="preserve">following </w:t>
      </w:r>
      <w:r w:rsidR="00DE69E1" w:rsidRPr="00F26EF7">
        <w:rPr>
          <w:sz w:val="24"/>
          <w:szCs w:val="24"/>
          <w:lang w:val="en-US"/>
        </w:rPr>
        <w:t xml:space="preserve">popular </w:t>
      </w:r>
      <w:r w:rsidRPr="00F26EF7">
        <w:rPr>
          <w:sz w:val="24"/>
          <w:szCs w:val="24"/>
          <w:lang w:val="en-US"/>
        </w:rPr>
        <w:t xml:space="preserve">protests, </w:t>
      </w:r>
      <w:r w:rsidR="0075623E">
        <w:rPr>
          <w:sz w:val="24"/>
          <w:szCs w:val="24"/>
          <w:lang w:val="en-US"/>
        </w:rPr>
        <w:t xml:space="preserve">but these were also </w:t>
      </w:r>
      <w:r w:rsidRPr="00F26EF7">
        <w:rPr>
          <w:sz w:val="24"/>
          <w:szCs w:val="24"/>
          <w:lang w:val="en-US"/>
        </w:rPr>
        <w:t xml:space="preserve">fueled in part by the </w:t>
      </w:r>
      <w:r w:rsidR="0075623E">
        <w:rPr>
          <w:sz w:val="24"/>
          <w:szCs w:val="24"/>
          <w:lang w:val="en-US"/>
        </w:rPr>
        <w:t xml:space="preserve">economic </w:t>
      </w:r>
      <w:r w:rsidRPr="00F26EF7">
        <w:rPr>
          <w:sz w:val="24"/>
          <w:szCs w:val="24"/>
          <w:lang w:val="en-US"/>
        </w:rPr>
        <w:t>decline and internal contradictions of the Soviet-style</w:t>
      </w:r>
      <w:r w:rsidR="00204E6D" w:rsidRPr="00F26EF7">
        <w:rPr>
          <w:sz w:val="24"/>
          <w:szCs w:val="24"/>
          <w:lang w:val="en-US"/>
        </w:rPr>
        <w:t xml:space="preserve"> planned economies (Bunce 1999). More recently, many </w:t>
      </w:r>
      <w:r w:rsidRPr="00F26EF7">
        <w:rPr>
          <w:sz w:val="24"/>
          <w:szCs w:val="24"/>
          <w:lang w:val="en-US"/>
        </w:rPr>
        <w:t xml:space="preserve">Arab countries saw a considerable decline in global foreign direct </w:t>
      </w:r>
      <w:r w:rsidR="003B0629">
        <w:rPr>
          <w:sz w:val="24"/>
          <w:szCs w:val="24"/>
          <w:lang w:val="en-US"/>
        </w:rPr>
        <w:t xml:space="preserve">investment after 2008, </w:t>
      </w:r>
      <w:r w:rsidRPr="00F26EF7">
        <w:rPr>
          <w:sz w:val="24"/>
          <w:szCs w:val="24"/>
          <w:lang w:val="en-US"/>
        </w:rPr>
        <w:t>as the fallout of the Lehman Brothers</w:t>
      </w:r>
      <w:r w:rsidR="00775FFF" w:rsidRPr="00F26EF7">
        <w:rPr>
          <w:sz w:val="24"/>
          <w:szCs w:val="24"/>
          <w:lang w:val="en-US"/>
        </w:rPr>
        <w:t>’</w:t>
      </w:r>
      <w:r w:rsidRPr="00F26EF7">
        <w:rPr>
          <w:sz w:val="24"/>
          <w:szCs w:val="24"/>
          <w:lang w:val="en-US"/>
        </w:rPr>
        <w:t xml:space="preserve"> bankruptcy spread</w:t>
      </w:r>
      <w:r w:rsidR="0075623E">
        <w:rPr>
          <w:sz w:val="24"/>
          <w:szCs w:val="24"/>
          <w:lang w:val="en-US"/>
        </w:rPr>
        <w:t>, which led to more forceful demands for political change</w:t>
      </w:r>
      <w:r w:rsidRPr="00F26EF7">
        <w:rPr>
          <w:sz w:val="24"/>
          <w:szCs w:val="24"/>
          <w:lang w:val="en-US"/>
        </w:rPr>
        <w:t xml:space="preserve"> (Aziz and Mishra 2016). Ulfelder (2009:</w:t>
      </w:r>
      <w:r w:rsidR="00204E6D" w:rsidRPr="00F26EF7">
        <w:rPr>
          <w:sz w:val="24"/>
          <w:szCs w:val="24"/>
          <w:lang w:val="en-US"/>
        </w:rPr>
        <w:t xml:space="preserve"> </w:t>
      </w:r>
      <w:r w:rsidRPr="00F26EF7">
        <w:rPr>
          <w:sz w:val="24"/>
          <w:szCs w:val="24"/>
          <w:lang w:val="en-US"/>
        </w:rPr>
        <w:t>28) concludes that “[I]n most instances, poor economic growth produced declines in living standards that spurred popular rebellion.”</w:t>
      </w:r>
    </w:p>
    <w:p w14:paraId="676213DE" w14:textId="1C83355C" w:rsidR="00B81376" w:rsidRPr="00F26EF7" w:rsidRDefault="00D4646A">
      <w:pPr>
        <w:rPr>
          <w:lang w:val="en-US"/>
        </w:rPr>
      </w:pPr>
      <w:r w:rsidRPr="00F26EF7">
        <w:rPr>
          <w:sz w:val="24"/>
          <w:szCs w:val="24"/>
          <w:lang w:val="en-US"/>
        </w:rPr>
        <w:t xml:space="preserve">However, the nexus between economic shocks and political mobilization is </w:t>
      </w:r>
      <w:r w:rsidR="00204E6D" w:rsidRPr="00F26EF7">
        <w:rPr>
          <w:sz w:val="24"/>
          <w:szCs w:val="24"/>
          <w:lang w:val="en-US"/>
        </w:rPr>
        <w:t xml:space="preserve">at the same time </w:t>
      </w:r>
      <w:r w:rsidRPr="00F26EF7">
        <w:rPr>
          <w:sz w:val="24"/>
          <w:szCs w:val="24"/>
          <w:lang w:val="en-US"/>
        </w:rPr>
        <w:t xml:space="preserve">less </w:t>
      </w:r>
      <w:r w:rsidR="00817B06" w:rsidRPr="00F26EF7">
        <w:rPr>
          <w:sz w:val="24"/>
          <w:szCs w:val="24"/>
          <w:lang w:val="en-US"/>
        </w:rPr>
        <w:t xml:space="preserve">direct and </w:t>
      </w:r>
      <w:r w:rsidRPr="00F26EF7">
        <w:rPr>
          <w:sz w:val="24"/>
          <w:szCs w:val="24"/>
          <w:lang w:val="en-US"/>
        </w:rPr>
        <w:t xml:space="preserve">clear-cut than often assumed. </w:t>
      </w:r>
      <w:r w:rsidR="00817B06" w:rsidRPr="00F26EF7">
        <w:rPr>
          <w:sz w:val="24"/>
          <w:szCs w:val="24"/>
          <w:lang w:val="en-US"/>
        </w:rPr>
        <w:t xml:space="preserve">One the one hand, </w:t>
      </w:r>
      <w:r w:rsidR="00204E6D" w:rsidRPr="00F26EF7">
        <w:rPr>
          <w:sz w:val="24"/>
          <w:szCs w:val="24"/>
          <w:lang w:val="en-US"/>
        </w:rPr>
        <w:t xml:space="preserve">both </w:t>
      </w:r>
      <w:r w:rsidRPr="00F26EF7">
        <w:rPr>
          <w:sz w:val="24"/>
          <w:szCs w:val="24"/>
          <w:lang w:val="en-US"/>
        </w:rPr>
        <w:t xml:space="preserve">initiating </w:t>
      </w:r>
      <w:r w:rsidR="00204E6D" w:rsidRPr="00F26EF7">
        <w:rPr>
          <w:sz w:val="24"/>
          <w:szCs w:val="24"/>
          <w:lang w:val="en-US"/>
        </w:rPr>
        <w:t xml:space="preserve">as well as </w:t>
      </w:r>
      <w:r w:rsidRPr="00F26EF7">
        <w:rPr>
          <w:sz w:val="24"/>
          <w:szCs w:val="24"/>
          <w:lang w:val="en-US"/>
        </w:rPr>
        <w:t xml:space="preserve">sustaining </w:t>
      </w:r>
      <w:r w:rsidR="00817B06" w:rsidRPr="00F26EF7">
        <w:rPr>
          <w:sz w:val="24"/>
          <w:szCs w:val="24"/>
          <w:lang w:val="en-US"/>
        </w:rPr>
        <w:t xml:space="preserve">popular </w:t>
      </w:r>
      <w:r w:rsidRPr="00F26EF7">
        <w:rPr>
          <w:sz w:val="24"/>
          <w:szCs w:val="24"/>
          <w:lang w:val="en-US"/>
        </w:rPr>
        <w:t xml:space="preserve">collective action is </w:t>
      </w:r>
      <w:r w:rsidR="00204E6D" w:rsidRPr="00F26EF7">
        <w:rPr>
          <w:sz w:val="24"/>
          <w:szCs w:val="24"/>
          <w:lang w:val="en-US"/>
        </w:rPr>
        <w:t xml:space="preserve">always </w:t>
      </w:r>
      <w:r w:rsidRPr="00F26EF7">
        <w:rPr>
          <w:sz w:val="24"/>
          <w:szCs w:val="24"/>
          <w:lang w:val="en-US"/>
        </w:rPr>
        <w:t>difficult</w:t>
      </w:r>
      <w:r w:rsidR="00817B06" w:rsidRPr="00F26EF7">
        <w:rPr>
          <w:sz w:val="24"/>
          <w:szCs w:val="24"/>
          <w:lang w:val="en-US"/>
        </w:rPr>
        <w:t xml:space="preserve">, </w:t>
      </w:r>
      <w:r w:rsidR="003B0629">
        <w:rPr>
          <w:sz w:val="24"/>
          <w:szCs w:val="24"/>
          <w:lang w:val="en-US"/>
        </w:rPr>
        <w:t xml:space="preserve">even if individual have extensive </w:t>
      </w:r>
      <w:r w:rsidR="00817B06" w:rsidRPr="00F26EF7">
        <w:rPr>
          <w:sz w:val="24"/>
          <w:szCs w:val="24"/>
          <w:lang w:val="en-US"/>
        </w:rPr>
        <w:t>grievances and motives</w:t>
      </w:r>
      <w:r w:rsidRPr="00F26EF7">
        <w:rPr>
          <w:sz w:val="24"/>
          <w:szCs w:val="24"/>
          <w:lang w:val="en-US"/>
        </w:rPr>
        <w:t xml:space="preserve">. </w:t>
      </w:r>
      <w:r w:rsidR="00627C3E">
        <w:rPr>
          <w:sz w:val="24"/>
          <w:szCs w:val="24"/>
          <w:lang w:val="en-US"/>
        </w:rPr>
        <w:t>A</w:t>
      </w:r>
      <w:r w:rsidRPr="00F26EF7">
        <w:rPr>
          <w:sz w:val="24"/>
          <w:szCs w:val="24"/>
          <w:lang w:val="en-US"/>
        </w:rPr>
        <w:t xml:space="preserve">nti-austerity movements like </w:t>
      </w:r>
      <w:r w:rsidRPr="00F26EF7">
        <w:rPr>
          <w:i/>
          <w:sz w:val="24"/>
          <w:szCs w:val="24"/>
          <w:lang w:val="en-US"/>
        </w:rPr>
        <w:t>Occupy Wall Street</w:t>
      </w:r>
      <w:r w:rsidR="00817B06" w:rsidRPr="00F26EF7">
        <w:rPr>
          <w:i/>
          <w:sz w:val="24"/>
          <w:szCs w:val="24"/>
          <w:lang w:val="en-US"/>
        </w:rPr>
        <w:t xml:space="preserve"> </w:t>
      </w:r>
      <w:r w:rsidR="00817B06" w:rsidRPr="00F26EF7">
        <w:rPr>
          <w:sz w:val="24"/>
          <w:szCs w:val="24"/>
          <w:lang w:val="en-US"/>
        </w:rPr>
        <w:t>have</w:t>
      </w:r>
      <w:r w:rsidRPr="00F26EF7">
        <w:rPr>
          <w:i/>
          <w:sz w:val="24"/>
          <w:szCs w:val="24"/>
          <w:lang w:val="en-US"/>
        </w:rPr>
        <w:t xml:space="preserve"> </w:t>
      </w:r>
      <w:r w:rsidRPr="00F26EF7">
        <w:rPr>
          <w:sz w:val="24"/>
          <w:szCs w:val="24"/>
          <w:lang w:val="en-US"/>
        </w:rPr>
        <w:t xml:space="preserve">tried to globalize the social discontent following the </w:t>
      </w:r>
      <w:r w:rsidR="00817B06" w:rsidRPr="00F26EF7">
        <w:rPr>
          <w:sz w:val="24"/>
          <w:szCs w:val="24"/>
          <w:lang w:val="en-US"/>
        </w:rPr>
        <w:t xml:space="preserve">new </w:t>
      </w:r>
      <w:r w:rsidRPr="00F26EF7">
        <w:rPr>
          <w:sz w:val="24"/>
          <w:szCs w:val="24"/>
          <w:lang w:val="en-US"/>
        </w:rPr>
        <w:t xml:space="preserve">Great Recession, </w:t>
      </w:r>
      <w:r w:rsidR="007A48D7">
        <w:rPr>
          <w:sz w:val="24"/>
          <w:szCs w:val="24"/>
          <w:lang w:val="en-US"/>
        </w:rPr>
        <w:t xml:space="preserve">yet </w:t>
      </w:r>
      <w:r w:rsidRPr="00F26EF7">
        <w:rPr>
          <w:sz w:val="24"/>
          <w:szCs w:val="24"/>
          <w:lang w:val="en-US"/>
        </w:rPr>
        <w:t xml:space="preserve">the uptake </w:t>
      </w:r>
      <w:r w:rsidR="00817B06" w:rsidRPr="00F26EF7">
        <w:rPr>
          <w:sz w:val="24"/>
          <w:szCs w:val="24"/>
          <w:lang w:val="en-US"/>
        </w:rPr>
        <w:t xml:space="preserve">has been </w:t>
      </w:r>
      <w:r w:rsidRPr="00F26EF7">
        <w:rPr>
          <w:sz w:val="24"/>
          <w:szCs w:val="24"/>
          <w:lang w:val="en-US"/>
        </w:rPr>
        <w:t>lim</w:t>
      </w:r>
      <w:r w:rsidR="007A48D7">
        <w:rPr>
          <w:sz w:val="24"/>
          <w:szCs w:val="24"/>
          <w:lang w:val="en-US"/>
        </w:rPr>
        <w:t xml:space="preserve">ited, </w:t>
      </w:r>
      <w:r w:rsidRPr="00F26EF7">
        <w:rPr>
          <w:sz w:val="24"/>
          <w:szCs w:val="24"/>
          <w:lang w:val="en-US"/>
        </w:rPr>
        <w:t xml:space="preserve">and the </w:t>
      </w:r>
      <w:r w:rsidR="008B4B92" w:rsidRPr="00F26EF7">
        <w:rPr>
          <w:sz w:val="24"/>
          <w:szCs w:val="24"/>
          <w:lang w:val="en-US"/>
        </w:rPr>
        <w:t xml:space="preserve">success of the </w:t>
      </w:r>
      <w:r w:rsidRPr="00F26EF7">
        <w:rPr>
          <w:sz w:val="24"/>
          <w:szCs w:val="24"/>
          <w:lang w:val="en-US"/>
        </w:rPr>
        <w:t xml:space="preserve">initial mobilization quickly ebbed away (Genovese, Schneider and Wassmann 2016). </w:t>
      </w:r>
      <w:r w:rsidR="00817B06" w:rsidRPr="00F26EF7">
        <w:rPr>
          <w:sz w:val="24"/>
          <w:szCs w:val="24"/>
          <w:lang w:val="en-US"/>
        </w:rPr>
        <w:t>On the other hand</w:t>
      </w:r>
      <w:r w:rsidR="008B4B92" w:rsidRPr="00F26EF7">
        <w:rPr>
          <w:sz w:val="24"/>
          <w:szCs w:val="24"/>
          <w:lang w:val="en-US"/>
        </w:rPr>
        <w:t>, governments</w:t>
      </w:r>
      <w:r w:rsidR="00270327" w:rsidRPr="00F26EF7">
        <w:rPr>
          <w:sz w:val="24"/>
          <w:szCs w:val="24"/>
          <w:lang w:val="en-US"/>
        </w:rPr>
        <w:t>,</w:t>
      </w:r>
      <w:r w:rsidR="008B4B92" w:rsidRPr="00F26EF7">
        <w:rPr>
          <w:sz w:val="24"/>
          <w:szCs w:val="24"/>
          <w:lang w:val="en-US"/>
        </w:rPr>
        <w:t xml:space="preserve"> </w:t>
      </w:r>
      <w:r w:rsidR="00BB603C" w:rsidRPr="00F26EF7">
        <w:rPr>
          <w:sz w:val="24"/>
          <w:szCs w:val="24"/>
          <w:lang w:val="en-US"/>
        </w:rPr>
        <w:t xml:space="preserve">their </w:t>
      </w:r>
      <w:r w:rsidR="00627C3E">
        <w:rPr>
          <w:sz w:val="24"/>
          <w:szCs w:val="24"/>
          <w:lang w:val="en-US"/>
        </w:rPr>
        <w:t xml:space="preserve">key agencies, </w:t>
      </w:r>
      <w:r w:rsidR="008B4B92" w:rsidRPr="00F26EF7">
        <w:rPr>
          <w:sz w:val="24"/>
          <w:szCs w:val="24"/>
          <w:lang w:val="en-US"/>
        </w:rPr>
        <w:t xml:space="preserve">and international </w:t>
      </w:r>
      <w:r w:rsidR="00BB603C" w:rsidRPr="00F26EF7">
        <w:rPr>
          <w:sz w:val="24"/>
          <w:szCs w:val="24"/>
          <w:lang w:val="en-US"/>
        </w:rPr>
        <w:t xml:space="preserve">financial institutions </w:t>
      </w:r>
      <w:r w:rsidR="008B4B92" w:rsidRPr="00F26EF7">
        <w:rPr>
          <w:sz w:val="24"/>
          <w:szCs w:val="24"/>
          <w:lang w:val="en-US"/>
        </w:rPr>
        <w:t xml:space="preserve">are not simply passive bystanders in economic crises, and their </w:t>
      </w:r>
      <w:r w:rsidR="00627C3E">
        <w:rPr>
          <w:sz w:val="24"/>
          <w:szCs w:val="24"/>
          <w:lang w:val="en-US"/>
        </w:rPr>
        <w:t xml:space="preserve">actual </w:t>
      </w:r>
      <w:r w:rsidR="008B4B92" w:rsidRPr="00F26EF7">
        <w:rPr>
          <w:sz w:val="24"/>
          <w:szCs w:val="24"/>
          <w:lang w:val="en-US"/>
        </w:rPr>
        <w:t xml:space="preserve">responses </w:t>
      </w:r>
      <w:r w:rsidR="00627C3E">
        <w:rPr>
          <w:sz w:val="24"/>
          <w:szCs w:val="24"/>
          <w:lang w:val="en-US"/>
        </w:rPr>
        <w:t xml:space="preserve">and their consequences </w:t>
      </w:r>
      <w:r w:rsidR="00817B06" w:rsidRPr="00F26EF7">
        <w:rPr>
          <w:sz w:val="24"/>
          <w:szCs w:val="24"/>
          <w:lang w:val="en-US"/>
        </w:rPr>
        <w:t xml:space="preserve">can </w:t>
      </w:r>
      <w:r w:rsidR="008B4B92" w:rsidRPr="00F26EF7">
        <w:rPr>
          <w:sz w:val="24"/>
          <w:szCs w:val="24"/>
          <w:lang w:val="en-US"/>
        </w:rPr>
        <w:t xml:space="preserve">shape the </w:t>
      </w:r>
      <w:r w:rsidR="00817B06" w:rsidRPr="00F26EF7">
        <w:rPr>
          <w:sz w:val="24"/>
          <w:szCs w:val="24"/>
          <w:lang w:val="en-US"/>
        </w:rPr>
        <w:t xml:space="preserve">motives and </w:t>
      </w:r>
      <w:r w:rsidR="008B4B92" w:rsidRPr="00F26EF7">
        <w:rPr>
          <w:sz w:val="24"/>
          <w:szCs w:val="24"/>
          <w:lang w:val="en-US"/>
        </w:rPr>
        <w:t>prospects for mobilization</w:t>
      </w:r>
      <w:r w:rsidR="00817B06" w:rsidRPr="00F26EF7">
        <w:rPr>
          <w:sz w:val="24"/>
          <w:szCs w:val="24"/>
          <w:lang w:val="en-US"/>
        </w:rPr>
        <w:t xml:space="preserve"> in important ways</w:t>
      </w:r>
      <w:r w:rsidR="008B4B92" w:rsidRPr="00F26EF7">
        <w:rPr>
          <w:sz w:val="24"/>
          <w:szCs w:val="24"/>
          <w:lang w:val="en-US"/>
        </w:rPr>
        <w:t xml:space="preserve">. </w:t>
      </w:r>
      <w:r w:rsidR="000A72DF">
        <w:rPr>
          <w:sz w:val="24"/>
          <w:szCs w:val="24"/>
          <w:lang w:val="en-US"/>
        </w:rPr>
        <w:t>More specifically, g</w:t>
      </w:r>
      <w:r w:rsidRPr="00F26EF7">
        <w:rPr>
          <w:sz w:val="24"/>
          <w:szCs w:val="24"/>
          <w:lang w:val="en-US"/>
        </w:rPr>
        <w:t>overnments</w:t>
      </w:r>
      <w:r w:rsidR="009907A4">
        <w:rPr>
          <w:sz w:val="24"/>
          <w:szCs w:val="24"/>
          <w:lang w:val="en-US"/>
        </w:rPr>
        <w:t xml:space="preserve"> </w:t>
      </w:r>
      <w:r w:rsidRPr="00F26EF7">
        <w:rPr>
          <w:sz w:val="24"/>
          <w:szCs w:val="24"/>
          <w:lang w:val="en-US"/>
        </w:rPr>
        <w:t xml:space="preserve">and international organizations possess various fiscal and monetary instruments </w:t>
      </w:r>
      <w:r w:rsidR="004A32A0">
        <w:rPr>
          <w:sz w:val="24"/>
          <w:szCs w:val="24"/>
          <w:lang w:val="en-US"/>
        </w:rPr>
        <w:t xml:space="preserve">that can </w:t>
      </w:r>
      <w:r w:rsidRPr="00F26EF7">
        <w:rPr>
          <w:sz w:val="24"/>
          <w:szCs w:val="24"/>
          <w:lang w:val="en-US"/>
        </w:rPr>
        <w:t xml:space="preserve">counteract socially </w:t>
      </w:r>
      <w:r w:rsidR="009907A4">
        <w:rPr>
          <w:sz w:val="24"/>
          <w:szCs w:val="24"/>
          <w:lang w:val="en-US"/>
        </w:rPr>
        <w:t xml:space="preserve">corrosive outcomes, even if </w:t>
      </w:r>
      <w:r w:rsidRPr="00F26EF7">
        <w:rPr>
          <w:sz w:val="24"/>
          <w:szCs w:val="24"/>
          <w:lang w:val="en-US"/>
        </w:rPr>
        <w:t xml:space="preserve">fiscal constraints and ideological </w:t>
      </w:r>
      <w:r w:rsidR="00C136C1">
        <w:rPr>
          <w:sz w:val="24"/>
          <w:szCs w:val="24"/>
          <w:lang w:val="en-US"/>
        </w:rPr>
        <w:t xml:space="preserve">orthodoxy </w:t>
      </w:r>
      <w:r w:rsidR="009907A4">
        <w:rPr>
          <w:sz w:val="24"/>
          <w:szCs w:val="24"/>
          <w:lang w:val="en-US"/>
        </w:rPr>
        <w:t xml:space="preserve">sometimes </w:t>
      </w:r>
      <w:r w:rsidR="004A32A0">
        <w:rPr>
          <w:sz w:val="24"/>
          <w:szCs w:val="24"/>
          <w:lang w:val="en-US"/>
        </w:rPr>
        <w:t xml:space="preserve">may </w:t>
      </w:r>
      <w:r w:rsidR="009907A4">
        <w:rPr>
          <w:sz w:val="24"/>
          <w:szCs w:val="24"/>
          <w:lang w:val="en-US"/>
        </w:rPr>
        <w:t>prevent</w:t>
      </w:r>
      <w:r w:rsidRPr="00F26EF7">
        <w:rPr>
          <w:sz w:val="24"/>
          <w:szCs w:val="24"/>
          <w:lang w:val="en-US"/>
        </w:rPr>
        <w:t xml:space="preserve"> governments from using these tools efficiently to reduce the social and p</w:t>
      </w:r>
      <w:r w:rsidR="00B81376" w:rsidRPr="00F26EF7">
        <w:rPr>
          <w:sz w:val="24"/>
          <w:szCs w:val="24"/>
          <w:lang w:val="en-US"/>
        </w:rPr>
        <w:t xml:space="preserve">olitical fallout from </w:t>
      </w:r>
      <w:r w:rsidR="009907A4">
        <w:rPr>
          <w:sz w:val="24"/>
          <w:szCs w:val="24"/>
          <w:lang w:val="en-US"/>
        </w:rPr>
        <w:t>crise</w:t>
      </w:r>
      <w:r w:rsidR="00B81376" w:rsidRPr="00F26EF7">
        <w:rPr>
          <w:sz w:val="24"/>
          <w:szCs w:val="24"/>
          <w:lang w:val="en-US"/>
        </w:rPr>
        <w:t>s.</w:t>
      </w:r>
      <w:r w:rsidR="004A32A0">
        <w:rPr>
          <w:rStyle w:val="FootnoteReference"/>
          <w:sz w:val="24"/>
          <w:szCs w:val="24"/>
          <w:lang w:val="en-US"/>
        </w:rPr>
        <w:footnoteReference w:id="1"/>
      </w:r>
      <w:r w:rsidR="005671C0" w:rsidRPr="00F26EF7">
        <w:rPr>
          <w:sz w:val="24"/>
          <w:szCs w:val="24"/>
          <w:lang w:val="en-US"/>
        </w:rPr>
        <w:t xml:space="preserve"> </w:t>
      </w:r>
    </w:p>
    <w:p w14:paraId="01A3FAEB" w14:textId="3E7A73E0" w:rsidR="00F405BC" w:rsidRPr="00F26EF7" w:rsidRDefault="00D4646A">
      <w:pPr>
        <w:rPr>
          <w:lang w:val="en-US"/>
        </w:rPr>
      </w:pPr>
      <w:r w:rsidRPr="00F26EF7">
        <w:rPr>
          <w:sz w:val="24"/>
          <w:szCs w:val="24"/>
          <w:lang w:val="en-US"/>
        </w:rPr>
        <w:lastRenderedPageBreak/>
        <w:t xml:space="preserve">Deficit reduction during financial or economic crises </w:t>
      </w:r>
      <w:r w:rsidR="00F305FE" w:rsidRPr="00F26EF7">
        <w:rPr>
          <w:sz w:val="24"/>
          <w:szCs w:val="24"/>
          <w:lang w:val="en-US"/>
        </w:rPr>
        <w:t xml:space="preserve">frequently </w:t>
      </w:r>
      <w:r w:rsidR="00B81376" w:rsidRPr="00F26EF7">
        <w:rPr>
          <w:sz w:val="24"/>
          <w:szCs w:val="24"/>
          <w:lang w:val="en-US"/>
        </w:rPr>
        <w:t xml:space="preserve">has </w:t>
      </w:r>
      <w:r w:rsidR="00F305FE" w:rsidRPr="00F26EF7">
        <w:rPr>
          <w:sz w:val="24"/>
          <w:szCs w:val="24"/>
          <w:lang w:val="en-US"/>
        </w:rPr>
        <w:t xml:space="preserve">important </w:t>
      </w:r>
      <w:r w:rsidR="00B81376" w:rsidRPr="00F26EF7">
        <w:rPr>
          <w:sz w:val="24"/>
          <w:szCs w:val="24"/>
          <w:lang w:val="en-US"/>
        </w:rPr>
        <w:t xml:space="preserve">social costs, </w:t>
      </w:r>
      <w:r w:rsidR="007A48D7">
        <w:rPr>
          <w:sz w:val="24"/>
          <w:szCs w:val="24"/>
          <w:lang w:val="en-US"/>
        </w:rPr>
        <w:t xml:space="preserve">and these can </w:t>
      </w:r>
      <w:r w:rsidRPr="00F26EF7">
        <w:rPr>
          <w:sz w:val="24"/>
          <w:szCs w:val="24"/>
          <w:lang w:val="en-US"/>
        </w:rPr>
        <w:t>destabiliz</w:t>
      </w:r>
      <w:r w:rsidR="007A48D7">
        <w:rPr>
          <w:sz w:val="24"/>
          <w:szCs w:val="24"/>
          <w:lang w:val="en-US"/>
        </w:rPr>
        <w:t>e</w:t>
      </w:r>
      <w:r w:rsidRPr="00F26EF7">
        <w:rPr>
          <w:sz w:val="24"/>
          <w:szCs w:val="24"/>
          <w:lang w:val="en-US"/>
        </w:rPr>
        <w:t xml:space="preserve"> countries that adopt ill-timed austerity measures.</w:t>
      </w:r>
      <w:r w:rsidRPr="00F26EF7">
        <w:rPr>
          <w:lang w:val="en-US"/>
        </w:rPr>
        <w:t xml:space="preserve">  </w:t>
      </w:r>
      <w:r w:rsidRPr="00F26EF7">
        <w:rPr>
          <w:sz w:val="24"/>
          <w:szCs w:val="24"/>
          <w:lang w:val="en-US"/>
        </w:rPr>
        <w:t xml:space="preserve">Analyzing the time span from 1919 to 2008, Ponticelli and Voth (2011) </w:t>
      </w:r>
      <w:r w:rsidR="007A48D7">
        <w:rPr>
          <w:sz w:val="24"/>
          <w:szCs w:val="24"/>
          <w:lang w:val="en-US"/>
        </w:rPr>
        <w:t xml:space="preserve">argue that there is a strong and possibly causal </w:t>
      </w:r>
      <w:r w:rsidRPr="00F26EF7">
        <w:rPr>
          <w:sz w:val="24"/>
          <w:szCs w:val="24"/>
          <w:lang w:val="en-US"/>
        </w:rPr>
        <w:t xml:space="preserve">link between austerity measures and different types of social unrest. Richards and Gelleny (2006) similarly show that banking crises increase the risk of </w:t>
      </w:r>
      <w:r w:rsidR="005D3E4B" w:rsidRPr="00F26EF7">
        <w:rPr>
          <w:sz w:val="24"/>
          <w:szCs w:val="24"/>
          <w:lang w:val="en-US"/>
        </w:rPr>
        <w:t>nonviol</w:t>
      </w:r>
      <w:r w:rsidRPr="00F26EF7">
        <w:rPr>
          <w:sz w:val="24"/>
          <w:szCs w:val="24"/>
          <w:lang w:val="en-US"/>
        </w:rPr>
        <w:t xml:space="preserve">ent protests, </w:t>
      </w:r>
      <w:r w:rsidR="00F305FE" w:rsidRPr="00F26EF7">
        <w:rPr>
          <w:sz w:val="24"/>
          <w:szCs w:val="24"/>
          <w:lang w:val="en-US"/>
        </w:rPr>
        <w:t xml:space="preserve">although they </w:t>
      </w:r>
      <w:r w:rsidRPr="00F26EF7">
        <w:rPr>
          <w:sz w:val="24"/>
          <w:szCs w:val="24"/>
          <w:lang w:val="en-US"/>
        </w:rPr>
        <w:t xml:space="preserve">do not </w:t>
      </w:r>
      <w:r w:rsidR="00717D4F">
        <w:rPr>
          <w:sz w:val="24"/>
          <w:szCs w:val="24"/>
          <w:lang w:val="en-US"/>
        </w:rPr>
        <w:t xml:space="preserve">appear to </w:t>
      </w:r>
      <w:r w:rsidRPr="00F26EF7">
        <w:rPr>
          <w:sz w:val="24"/>
          <w:szCs w:val="24"/>
          <w:lang w:val="en-US"/>
        </w:rPr>
        <w:t xml:space="preserve">affect the </w:t>
      </w:r>
      <w:r w:rsidR="00F305FE" w:rsidRPr="00F26EF7">
        <w:rPr>
          <w:sz w:val="24"/>
          <w:szCs w:val="24"/>
          <w:lang w:val="en-US"/>
        </w:rPr>
        <w:t xml:space="preserve">risk of </w:t>
      </w:r>
      <w:r w:rsidRPr="00F26EF7">
        <w:rPr>
          <w:sz w:val="24"/>
          <w:szCs w:val="24"/>
          <w:lang w:val="en-US"/>
        </w:rPr>
        <w:t>civil war</w:t>
      </w:r>
      <w:r w:rsidR="00F305FE" w:rsidRPr="00F26EF7">
        <w:rPr>
          <w:sz w:val="24"/>
          <w:szCs w:val="24"/>
          <w:lang w:val="en-US"/>
        </w:rPr>
        <w:t xml:space="preserve"> onset</w:t>
      </w:r>
      <w:r w:rsidRPr="00F26EF7">
        <w:rPr>
          <w:sz w:val="24"/>
          <w:szCs w:val="24"/>
          <w:lang w:val="en-US"/>
        </w:rPr>
        <w:t xml:space="preserve">. Martin and Gaby (2013) establish a link between the size of government debt and the amount of fiscal protests </w:t>
      </w:r>
      <w:r w:rsidR="0005764A" w:rsidRPr="00F26EF7">
        <w:rPr>
          <w:sz w:val="24"/>
          <w:szCs w:val="24"/>
          <w:lang w:val="en-US"/>
        </w:rPr>
        <w:t xml:space="preserve">that </w:t>
      </w:r>
      <w:r w:rsidRPr="00F26EF7">
        <w:rPr>
          <w:sz w:val="24"/>
          <w:szCs w:val="24"/>
          <w:lang w:val="en-US"/>
        </w:rPr>
        <w:t xml:space="preserve">a country endures. </w:t>
      </w:r>
    </w:p>
    <w:p w14:paraId="0ADDCDB6" w14:textId="36782D40" w:rsidR="00F405BC" w:rsidRPr="00F26EF7" w:rsidRDefault="00572FC0">
      <w:pPr>
        <w:rPr>
          <w:lang w:val="en-US"/>
        </w:rPr>
      </w:pPr>
      <w:r w:rsidRPr="00F26EF7">
        <w:rPr>
          <w:sz w:val="24"/>
          <w:szCs w:val="24"/>
          <w:lang w:val="en-US"/>
        </w:rPr>
        <w:t>I</w:t>
      </w:r>
      <w:r w:rsidR="00D4646A" w:rsidRPr="00F26EF7">
        <w:rPr>
          <w:sz w:val="24"/>
          <w:szCs w:val="24"/>
          <w:lang w:val="en-US"/>
        </w:rPr>
        <w:t>nternational lenders such as the</w:t>
      </w:r>
      <w:r w:rsidR="00BC3139" w:rsidRPr="00F26EF7">
        <w:rPr>
          <w:sz w:val="24"/>
          <w:szCs w:val="24"/>
          <w:lang w:val="en-US"/>
        </w:rPr>
        <w:t xml:space="preserve"> IMF</w:t>
      </w:r>
      <w:r w:rsidR="00D4646A" w:rsidRPr="00F26EF7">
        <w:rPr>
          <w:sz w:val="24"/>
          <w:szCs w:val="24"/>
          <w:lang w:val="en-US"/>
        </w:rPr>
        <w:t xml:space="preserve"> commonly ask for structural reforms as a precondition for agreeing on a financial rescue package. </w:t>
      </w:r>
      <w:r w:rsidRPr="00F26EF7">
        <w:rPr>
          <w:sz w:val="24"/>
          <w:szCs w:val="24"/>
          <w:lang w:val="en-US"/>
        </w:rPr>
        <w:t xml:space="preserve">Some </w:t>
      </w:r>
      <w:r w:rsidR="004A32A0">
        <w:rPr>
          <w:sz w:val="24"/>
          <w:szCs w:val="24"/>
          <w:lang w:val="en-US"/>
        </w:rPr>
        <w:t xml:space="preserve">critics </w:t>
      </w:r>
      <w:r w:rsidRPr="00F26EF7">
        <w:rPr>
          <w:sz w:val="24"/>
          <w:szCs w:val="24"/>
          <w:lang w:val="en-US"/>
        </w:rPr>
        <w:t xml:space="preserve">see </w:t>
      </w:r>
      <w:r w:rsidR="004A32A0">
        <w:rPr>
          <w:sz w:val="24"/>
          <w:szCs w:val="24"/>
          <w:lang w:val="en-US"/>
        </w:rPr>
        <w:t xml:space="preserve">these externally imposed </w:t>
      </w:r>
      <w:r w:rsidRPr="00F26EF7">
        <w:rPr>
          <w:sz w:val="24"/>
          <w:szCs w:val="24"/>
          <w:lang w:val="en-US"/>
        </w:rPr>
        <w:t xml:space="preserve">austerity measures as an impediment to successful crisis management. </w:t>
      </w:r>
      <w:r w:rsidR="00D4646A" w:rsidRPr="00F26EF7">
        <w:rPr>
          <w:sz w:val="24"/>
          <w:szCs w:val="24"/>
          <w:lang w:val="en-US"/>
        </w:rPr>
        <w:t>Stiglitz (2002)</w:t>
      </w:r>
      <w:r w:rsidR="00013840" w:rsidRPr="00F26EF7">
        <w:rPr>
          <w:sz w:val="24"/>
          <w:szCs w:val="24"/>
          <w:lang w:val="en-US"/>
        </w:rPr>
        <w:t>,</w:t>
      </w:r>
      <w:r w:rsidR="00D4646A" w:rsidRPr="00F26EF7">
        <w:rPr>
          <w:sz w:val="24"/>
          <w:szCs w:val="24"/>
          <w:lang w:val="en-US"/>
        </w:rPr>
        <w:t xml:space="preserve"> </w:t>
      </w:r>
      <w:r w:rsidR="000B0BC7">
        <w:rPr>
          <w:sz w:val="24"/>
          <w:szCs w:val="24"/>
          <w:lang w:val="en-US"/>
        </w:rPr>
        <w:t>for example, deplores</w:t>
      </w:r>
      <w:r w:rsidR="00D4646A" w:rsidRPr="00F26EF7">
        <w:rPr>
          <w:sz w:val="24"/>
          <w:szCs w:val="24"/>
          <w:lang w:val="en-US"/>
        </w:rPr>
        <w:t xml:space="preserve"> </w:t>
      </w:r>
      <w:r w:rsidRPr="00F26EF7">
        <w:rPr>
          <w:sz w:val="24"/>
          <w:szCs w:val="24"/>
          <w:lang w:val="en-US"/>
        </w:rPr>
        <w:t xml:space="preserve">how </w:t>
      </w:r>
      <w:r w:rsidR="00D4646A" w:rsidRPr="00F26EF7">
        <w:rPr>
          <w:sz w:val="24"/>
          <w:szCs w:val="24"/>
          <w:lang w:val="en-US"/>
        </w:rPr>
        <w:t xml:space="preserve">the uniform application of the IMF programs and </w:t>
      </w:r>
      <w:r w:rsidR="00717D4F">
        <w:rPr>
          <w:sz w:val="24"/>
          <w:szCs w:val="24"/>
          <w:lang w:val="en-US"/>
        </w:rPr>
        <w:t xml:space="preserve">the </w:t>
      </w:r>
      <w:r w:rsidR="00D4646A" w:rsidRPr="00F26EF7">
        <w:rPr>
          <w:sz w:val="24"/>
          <w:szCs w:val="24"/>
          <w:lang w:val="en-US"/>
        </w:rPr>
        <w:t>underl</w:t>
      </w:r>
      <w:r w:rsidRPr="00F26EF7">
        <w:rPr>
          <w:sz w:val="24"/>
          <w:szCs w:val="24"/>
          <w:lang w:val="en-US"/>
        </w:rPr>
        <w:t>ying “Washington Consensus” has</w:t>
      </w:r>
      <w:r w:rsidR="00D4646A" w:rsidRPr="00F26EF7">
        <w:rPr>
          <w:sz w:val="24"/>
          <w:szCs w:val="24"/>
          <w:lang w:val="en-US"/>
        </w:rPr>
        <w:t xml:space="preserve"> destabilized borrowing countries. </w:t>
      </w:r>
      <w:r w:rsidR="00717D4F">
        <w:rPr>
          <w:sz w:val="24"/>
          <w:szCs w:val="24"/>
          <w:lang w:val="en-US"/>
        </w:rPr>
        <w:t>E</w:t>
      </w:r>
      <w:r w:rsidR="00D4646A" w:rsidRPr="00F26EF7">
        <w:rPr>
          <w:sz w:val="24"/>
          <w:szCs w:val="24"/>
          <w:lang w:val="en-US"/>
        </w:rPr>
        <w:t xml:space="preserve">arly studies on the economic impact </w:t>
      </w:r>
      <w:r w:rsidR="00CE79F7">
        <w:rPr>
          <w:sz w:val="24"/>
          <w:szCs w:val="24"/>
          <w:lang w:val="en-US"/>
        </w:rPr>
        <w:t xml:space="preserve">of IMF lending </w:t>
      </w:r>
      <w:r w:rsidR="00D4646A" w:rsidRPr="00F26EF7">
        <w:rPr>
          <w:sz w:val="24"/>
          <w:szCs w:val="24"/>
          <w:lang w:val="en-US"/>
        </w:rPr>
        <w:t>suggested that structural adjustment programs have lowered rather than strengthened economic growth (Barro and Lee 2005, Przeworski and Vreeland 2000, Vreeland 2003)</w:t>
      </w:r>
      <w:r w:rsidR="009C3366">
        <w:rPr>
          <w:sz w:val="24"/>
          <w:szCs w:val="24"/>
          <w:lang w:val="en-US"/>
        </w:rPr>
        <w:t>. However,</w:t>
      </w:r>
      <w:r w:rsidR="00697883">
        <w:rPr>
          <w:sz w:val="24"/>
          <w:szCs w:val="24"/>
          <w:lang w:val="en-US"/>
        </w:rPr>
        <w:t xml:space="preserve"> </w:t>
      </w:r>
      <w:r w:rsidR="00D4646A" w:rsidRPr="00F26EF7">
        <w:rPr>
          <w:sz w:val="24"/>
          <w:szCs w:val="24"/>
          <w:lang w:val="en-US"/>
        </w:rPr>
        <w:t>some recent studies paint a more positive picture (Bas and Stone  2014, Binder and Bluhm 2017).</w:t>
      </w:r>
    </w:p>
    <w:p w14:paraId="7A296567" w14:textId="1DB837FC" w:rsidR="00F405BC" w:rsidRPr="00F26EF7" w:rsidRDefault="00D4646A">
      <w:pPr>
        <w:rPr>
          <w:b/>
          <w:sz w:val="24"/>
          <w:szCs w:val="24"/>
          <w:lang w:val="en-US"/>
        </w:rPr>
      </w:pPr>
      <w:r w:rsidRPr="00F26EF7">
        <w:rPr>
          <w:sz w:val="24"/>
          <w:szCs w:val="24"/>
          <w:lang w:val="en-US"/>
        </w:rPr>
        <w:t xml:space="preserve">Studies on the nexus between IMF program participation and the risk of </w:t>
      </w:r>
      <w:r w:rsidR="00572FC0" w:rsidRPr="00F26EF7">
        <w:rPr>
          <w:sz w:val="24"/>
          <w:szCs w:val="24"/>
          <w:lang w:val="en-US"/>
        </w:rPr>
        <w:t xml:space="preserve">conflict or </w:t>
      </w:r>
      <w:r w:rsidRPr="00F26EF7">
        <w:rPr>
          <w:sz w:val="24"/>
          <w:szCs w:val="24"/>
          <w:lang w:val="en-US"/>
        </w:rPr>
        <w:t xml:space="preserve">civil war have reached seemingly inconsistent results. Hartzell, Hoodie and Bauer (2010) argue that conditional lending </w:t>
      </w:r>
      <w:r w:rsidR="000E6D2F" w:rsidRPr="00F26EF7">
        <w:rPr>
          <w:sz w:val="24"/>
          <w:szCs w:val="24"/>
          <w:lang w:val="en-US"/>
        </w:rPr>
        <w:t xml:space="preserve">increases the risk that a country will see </w:t>
      </w:r>
      <w:r w:rsidRPr="00F26EF7">
        <w:rPr>
          <w:sz w:val="24"/>
          <w:szCs w:val="24"/>
          <w:lang w:val="en-US"/>
        </w:rPr>
        <w:t xml:space="preserve">civil war. </w:t>
      </w:r>
      <w:r w:rsidR="00B81376" w:rsidRPr="00F26EF7">
        <w:rPr>
          <w:sz w:val="24"/>
          <w:szCs w:val="24"/>
          <w:lang w:val="en-US"/>
        </w:rPr>
        <w:t xml:space="preserve">However, </w:t>
      </w:r>
      <w:r w:rsidRPr="00F26EF7">
        <w:rPr>
          <w:sz w:val="24"/>
          <w:szCs w:val="24"/>
          <w:lang w:val="en-US"/>
        </w:rPr>
        <w:t>Midtgård, Vadlamannati and de S</w:t>
      </w:r>
      <w:r w:rsidR="009100DF">
        <w:rPr>
          <w:sz w:val="24"/>
          <w:szCs w:val="24"/>
          <w:lang w:val="en-US"/>
        </w:rPr>
        <w:t xml:space="preserve">oysa (2014) reject this finding, </w:t>
      </w:r>
      <w:r w:rsidR="00E71016">
        <w:rPr>
          <w:sz w:val="24"/>
          <w:szCs w:val="24"/>
          <w:lang w:val="en-US"/>
        </w:rPr>
        <w:t xml:space="preserve">and show that small </w:t>
      </w:r>
      <w:r w:rsidRPr="00F26EF7">
        <w:rPr>
          <w:sz w:val="24"/>
          <w:szCs w:val="24"/>
          <w:lang w:val="en-US"/>
        </w:rPr>
        <w:t>modifications in the research design</w:t>
      </w:r>
      <w:r w:rsidR="00E71016">
        <w:rPr>
          <w:sz w:val="24"/>
          <w:szCs w:val="24"/>
          <w:lang w:val="en-US"/>
        </w:rPr>
        <w:t xml:space="preserve"> </w:t>
      </w:r>
      <w:r w:rsidR="00B81376" w:rsidRPr="00F26EF7">
        <w:rPr>
          <w:sz w:val="24"/>
          <w:szCs w:val="24"/>
          <w:lang w:val="en-US"/>
        </w:rPr>
        <w:t xml:space="preserve">and lowering the threshold for </w:t>
      </w:r>
      <w:r w:rsidR="006B0CA6" w:rsidRPr="00F26EF7">
        <w:rPr>
          <w:sz w:val="24"/>
          <w:szCs w:val="24"/>
          <w:lang w:val="en-US"/>
        </w:rPr>
        <w:t xml:space="preserve">violent </w:t>
      </w:r>
      <w:r w:rsidR="00B81376" w:rsidRPr="00F26EF7">
        <w:rPr>
          <w:sz w:val="24"/>
          <w:szCs w:val="24"/>
          <w:lang w:val="en-US"/>
        </w:rPr>
        <w:t xml:space="preserve">conflict to 25 deaths </w:t>
      </w:r>
      <w:r w:rsidR="006B0CA6" w:rsidRPr="00F26EF7">
        <w:rPr>
          <w:sz w:val="24"/>
          <w:szCs w:val="24"/>
          <w:lang w:val="en-US"/>
        </w:rPr>
        <w:t xml:space="preserve">actually </w:t>
      </w:r>
      <w:r w:rsidR="00B81376" w:rsidRPr="00F26EF7">
        <w:rPr>
          <w:sz w:val="24"/>
          <w:szCs w:val="24"/>
          <w:lang w:val="en-US"/>
        </w:rPr>
        <w:t>suggest</w:t>
      </w:r>
      <w:r w:rsidR="003812B0" w:rsidRPr="00F26EF7">
        <w:rPr>
          <w:sz w:val="24"/>
          <w:szCs w:val="24"/>
          <w:lang w:val="en-US"/>
        </w:rPr>
        <w:t>s</w:t>
      </w:r>
      <w:r w:rsidR="00B81376" w:rsidRPr="00F26EF7">
        <w:rPr>
          <w:sz w:val="24"/>
          <w:szCs w:val="24"/>
          <w:lang w:val="en-US"/>
        </w:rPr>
        <w:t xml:space="preserve"> a negative effect</w:t>
      </w:r>
      <w:r w:rsidRPr="00F26EF7">
        <w:rPr>
          <w:sz w:val="24"/>
          <w:szCs w:val="24"/>
          <w:lang w:val="en-US"/>
        </w:rPr>
        <w:t>. Recent studies have furthermore established that IMF lending supports rather than undermines democratization processes</w:t>
      </w:r>
      <w:r w:rsidR="00BD1806" w:rsidRPr="00F26EF7">
        <w:rPr>
          <w:sz w:val="24"/>
          <w:szCs w:val="24"/>
          <w:lang w:val="en-US"/>
        </w:rPr>
        <w:t xml:space="preserve">, which in the long run may help decrease </w:t>
      </w:r>
      <w:r w:rsidR="00E60186">
        <w:rPr>
          <w:sz w:val="24"/>
          <w:szCs w:val="24"/>
          <w:lang w:val="en-US"/>
        </w:rPr>
        <w:t xml:space="preserve">political </w:t>
      </w:r>
      <w:r w:rsidR="00BD1806" w:rsidRPr="00F26EF7">
        <w:rPr>
          <w:sz w:val="24"/>
          <w:szCs w:val="24"/>
          <w:lang w:val="en-US"/>
        </w:rPr>
        <w:t>conflict</w:t>
      </w:r>
      <w:r w:rsidRPr="00F26EF7">
        <w:rPr>
          <w:sz w:val="24"/>
          <w:szCs w:val="24"/>
          <w:lang w:val="en-US"/>
        </w:rPr>
        <w:t xml:space="preserve"> (Birchler, Limpach and Michaelowa 2016</w:t>
      </w:r>
      <w:r w:rsidR="00423996" w:rsidRPr="00F26EF7">
        <w:rPr>
          <w:sz w:val="24"/>
          <w:szCs w:val="24"/>
          <w:lang w:val="en-US"/>
        </w:rPr>
        <w:t>, Nelson and Wallace 2016</w:t>
      </w:r>
      <w:r w:rsidRPr="00F26EF7">
        <w:rPr>
          <w:sz w:val="24"/>
          <w:szCs w:val="24"/>
          <w:lang w:val="en-US"/>
        </w:rPr>
        <w:t>)</w:t>
      </w:r>
      <w:r w:rsidRPr="00F26EF7">
        <w:rPr>
          <w:b/>
          <w:sz w:val="24"/>
          <w:szCs w:val="24"/>
          <w:lang w:val="en-US"/>
        </w:rPr>
        <w:t>.</w:t>
      </w:r>
    </w:p>
    <w:p w14:paraId="21242528" w14:textId="729034E8" w:rsidR="00F405BC" w:rsidRPr="00F26EF7" w:rsidRDefault="00D4646A">
      <w:pPr>
        <w:rPr>
          <w:lang w:val="en-US"/>
        </w:rPr>
      </w:pPr>
      <w:r w:rsidRPr="00F26EF7">
        <w:rPr>
          <w:sz w:val="24"/>
          <w:szCs w:val="24"/>
          <w:lang w:val="en-US"/>
        </w:rPr>
        <w:t xml:space="preserve">This article links the debates on the potential </w:t>
      </w:r>
      <w:r w:rsidR="00423996" w:rsidRPr="00F26EF7">
        <w:rPr>
          <w:sz w:val="24"/>
          <w:szCs w:val="24"/>
          <w:lang w:val="en-US"/>
        </w:rPr>
        <w:t xml:space="preserve">for </w:t>
      </w:r>
      <w:r w:rsidRPr="00F26EF7">
        <w:rPr>
          <w:sz w:val="24"/>
          <w:szCs w:val="24"/>
          <w:lang w:val="en-US"/>
        </w:rPr>
        <w:t xml:space="preserve">social conflict </w:t>
      </w:r>
      <w:r w:rsidR="009100DF">
        <w:rPr>
          <w:sz w:val="24"/>
          <w:szCs w:val="24"/>
          <w:lang w:val="en-US"/>
        </w:rPr>
        <w:t xml:space="preserve">after </w:t>
      </w:r>
      <w:r w:rsidRPr="00F26EF7">
        <w:rPr>
          <w:sz w:val="24"/>
          <w:szCs w:val="24"/>
          <w:lang w:val="en-US"/>
        </w:rPr>
        <w:t xml:space="preserve">financial crises and </w:t>
      </w:r>
      <w:r w:rsidR="00423996" w:rsidRPr="00F26EF7">
        <w:rPr>
          <w:sz w:val="24"/>
          <w:szCs w:val="24"/>
          <w:lang w:val="en-US"/>
        </w:rPr>
        <w:t xml:space="preserve">the implications of </w:t>
      </w:r>
      <w:r w:rsidRPr="00F26EF7">
        <w:rPr>
          <w:sz w:val="24"/>
          <w:szCs w:val="24"/>
          <w:lang w:val="en-US"/>
        </w:rPr>
        <w:t>conditional IMF lending</w:t>
      </w:r>
      <w:r w:rsidR="00E60186">
        <w:rPr>
          <w:sz w:val="24"/>
          <w:szCs w:val="24"/>
          <w:lang w:val="en-US"/>
        </w:rPr>
        <w:t>. We examine</w:t>
      </w:r>
      <w:r w:rsidRPr="00F26EF7">
        <w:rPr>
          <w:sz w:val="24"/>
          <w:szCs w:val="24"/>
          <w:lang w:val="en-US"/>
        </w:rPr>
        <w:t xml:space="preserve"> </w:t>
      </w:r>
      <w:r w:rsidR="009D27D9" w:rsidRPr="00F26EF7">
        <w:rPr>
          <w:sz w:val="24"/>
          <w:szCs w:val="24"/>
          <w:lang w:val="en-US"/>
        </w:rPr>
        <w:t xml:space="preserve">how </w:t>
      </w:r>
      <w:r w:rsidRPr="00F26EF7">
        <w:rPr>
          <w:sz w:val="24"/>
          <w:szCs w:val="24"/>
          <w:lang w:val="en-US"/>
        </w:rPr>
        <w:t>financial crises and inflation as we</w:t>
      </w:r>
      <w:r w:rsidR="008734D5" w:rsidRPr="00F26EF7">
        <w:rPr>
          <w:sz w:val="24"/>
          <w:szCs w:val="24"/>
          <w:lang w:val="en-US"/>
        </w:rPr>
        <w:t>ll as IMF program participation</w:t>
      </w:r>
      <w:r w:rsidR="0039683E">
        <w:rPr>
          <w:sz w:val="24"/>
          <w:szCs w:val="24"/>
          <w:lang w:val="en-US"/>
        </w:rPr>
        <w:t xml:space="preserve"> affect</w:t>
      </w:r>
      <w:r w:rsidR="009D27D9" w:rsidRPr="00F26EF7">
        <w:rPr>
          <w:sz w:val="24"/>
          <w:szCs w:val="24"/>
          <w:lang w:val="en-US"/>
        </w:rPr>
        <w:t xml:space="preserve"> the risk of </w:t>
      </w:r>
      <w:r w:rsidR="003E666B">
        <w:rPr>
          <w:sz w:val="24"/>
          <w:szCs w:val="24"/>
          <w:lang w:val="en-US"/>
        </w:rPr>
        <w:t xml:space="preserve">conflict, distinguishing between </w:t>
      </w:r>
      <w:r w:rsidR="009D27D9" w:rsidRPr="00F26EF7">
        <w:rPr>
          <w:sz w:val="24"/>
          <w:szCs w:val="24"/>
          <w:lang w:val="en-US"/>
        </w:rPr>
        <w:t xml:space="preserve">violent conflict and </w:t>
      </w:r>
      <w:r w:rsidR="005D3E4B" w:rsidRPr="00F26EF7">
        <w:rPr>
          <w:sz w:val="24"/>
          <w:szCs w:val="24"/>
          <w:lang w:val="en-US"/>
        </w:rPr>
        <w:t>nonviol</w:t>
      </w:r>
      <w:r w:rsidRPr="00F26EF7">
        <w:rPr>
          <w:sz w:val="24"/>
          <w:szCs w:val="24"/>
          <w:lang w:val="en-US"/>
        </w:rPr>
        <w:t>ent protests</w:t>
      </w:r>
      <w:r w:rsidR="00FF2872">
        <w:rPr>
          <w:sz w:val="24"/>
          <w:szCs w:val="24"/>
          <w:lang w:val="en-US"/>
        </w:rPr>
        <w:t xml:space="preserve">, taking into account the close relationship of </w:t>
      </w:r>
      <w:r w:rsidR="003E666B">
        <w:rPr>
          <w:sz w:val="24"/>
          <w:szCs w:val="24"/>
          <w:lang w:val="en-US"/>
        </w:rPr>
        <w:t xml:space="preserve">IMF program participation </w:t>
      </w:r>
      <w:r w:rsidR="00FF2872">
        <w:rPr>
          <w:sz w:val="24"/>
          <w:szCs w:val="24"/>
          <w:lang w:val="en-US"/>
        </w:rPr>
        <w:t xml:space="preserve">to </w:t>
      </w:r>
      <w:r w:rsidR="003E666B">
        <w:rPr>
          <w:sz w:val="24"/>
          <w:szCs w:val="24"/>
          <w:lang w:val="en-US"/>
        </w:rPr>
        <w:t>crisis conditions</w:t>
      </w:r>
      <w:r w:rsidRPr="00F26EF7">
        <w:rPr>
          <w:sz w:val="24"/>
          <w:szCs w:val="24"/>
          <w:lang w:val="en-US"/>
        </w:rPr>
        <w:t xml:space="preserve">. Our study moves beyond the </w:t>
      </w:r>
      <w:r w:rsidR="008734D5" w:rsidRPr="00F26EF7">
        <w:rPr>
          <w:sz w:val="24"/>
          <w:szCs w:val="24"/>
          <w:lang w:val="en-US"/>
        </w:rPr>
        <w:t xml:space="preserve">existing contributions to the </w:t>
      </w:r>
      <w:r w:rsidRPr="00F26EF7">
        <w:rPr>
          <w:sz w:val="24"/>
          <w:szCs w:val="24"/>
          <w:lang w:val="en-US"/>
        </w:rPr>
        <w:t xml:space="preserve">two literatures in four ways. First, we go beyond the exclusive focus on </w:t>
      </w:r>
      <w:r w:rsidR="001F5615">
        <w:rPr>
          <w:sz w:val="24"/>
          <w:szCs w:val="24"/>
          <w:lang w:val="en-US"/>
        </w:rPr>
        <w:t xml:space="preserve">lethal </w:t>
      </w:r>
      <w:r w:rsidR="00B24CAD" w:rsidRPr="00F26EF7">
        <w:rPr>
          <w:sz w:val="24"/>
          <w:szCs w:val="24"/>
          <w:lang w:val="en-US"/>
        </w:rPr>
        <w:t xml:space="preserve">violence, </w:t>
      </w:r>
      <w:r w:rsidR="001F5615">
        <w:rPr>
          <w:sz w:val="24"/>
          <w:szCs w:val="24"/>
          <w:lang w:val="en-US"/>
        </w:rPr>
        <w:t xml:space="preserve">which is the only </w:t>
      </w:r>
      <w:r w:rsidR="001F5615">
        <w:rPr>
          <w:sz w:val="24"/>
          <w:szCs w:val="24"/>
          <w:lang w:val="en-US"/>
        </w:rPr>
        <w:lastRenderedPageBreak/>
        <w:t xml:space="preserve">form of conflict examined </w:t>
      </w:r>
      <w:r w:rsidR="00485B7D">
        <w:rPr>
          <w:sz w:val="24"/>
          <w:szCs w:val="24"/>
          <w:lang w:val="en-US"/>
        </w:rPr>
        <w:t xml:space="preserve">by </w:t>
      </w:r>
      <w:r w:rsidRPr="00F26EF7">
        <w:rPr>
          <w:sz w:val="24"/>
          <w:szCs w:val="24"/>
          <w:lang w:val="en-US"/>
        </w:rPr>
        <w:t>Hartzell, Hoodie and Bauer´s (2010) pioneering study</w:t>
      </w:r>
      <w:r w:rsidR="001F5615">
        <w:rPr>
          <w:sz w:val="24"/>
          <w:szCs w:val="24"/>
          <w:lang w:val="en-US"/>
        </w:rPr>
        <w:t xml:space="preserve"> as well as </w:t>
      </w:r>
      <w:r w:rsidR="00485B7D">
        <w:rPr>
          <w:sz w:val="24"/>
          <w:szCs w:val="24"/>
          <w:lang w:val="en-US"/>
        </w:rPr>
        <w:t xml:space="preserve">the </w:t>
      </w:r>
      <w:r w:rsidRPr="00F26EF7">
        <w:rPr>
          <w:sz w:val="24"/>
          <w:szCs w:val="24"/>
          <w:lang w:val="en-US"/>
        </w:rPr>
        <w:t>Midtgård, Vadlamannati and de Soysa</w:t>
      </w:r>
      <w:r w:rsidR="001F5615">
        <w:rPr>
          <w:sz w:val="24"/>
          <w:szCs w:val="24"/>
          <w:lang w:val="en-US"/>
        </w:rPr>
        <w:t>’s</w:t>
      </w:r>
      <w:r w:rsidRPr="00F26EF7">
        <w:rPr>
          <w:sz w:val="24"/>
          <w:szCs w:val="24"/>
          <w:lang w:val="en-US"/>
        </w:rPr>
        <w:t xml:space="preserve"> (2014)</w:t>
      </w:r>
      <w:r w:rsidR="001F5615">
        <w:rPr>
          <w:sz w:val="24"/>
          <w:szCs w:val="24"/>
          <w:lang w:val="en-US"/>
        </w:rPr>
        <w:t xml:space="preserve"> reanalysis</w:t>
      </w:r>
      <w:r w:rsidRPr="00F26EF7">
        <w:rPr>
          <w:sz w:val="24"/>
          <w:szCs w:val="24"/>
          <w:lang w:val="en-US"/>
        </w:rPr>
        <w:t xml:space="preserve">. </w:t>
      </w:r>
      <w:r w:rsidR="00044537">
        <w:rPr>
          <w:sz w:val="24"/>
          <w:szCs w:val="24"/>
          <w:lang w:val="en-US"/>
        </w:rPr>
        <w:t>This is im</w:t>
      </w:r>
      <w:r w:rsidR="00E16B2F">
        <w:rPr>
          <w:sz w:val="24"/>
          <w:szCs w:val="24"/>
          <w:lang w:val="en-US"/>
        </w:rPr>
        <w:t xml:space="preserve">portant, </w:t>
      </w:r>
      <w:r w:rsidR="00044537">
        <w:rPr>
          <w:sz w:val="24"/>
          <w:szCs w:val="24"/>
          <w:lang w:val="en-US"/>
        </w:rPr>
        <w:t>since w</w:t>
      </w:r>
      <w:r w:rsidRPr="00F26EF7">
        <w:rPr>
          <w:sz w:val="24"/>
          <w:szCs w:val="24"/>
          <w:lang w:val="en-US"/>
        </w:rPr>
        <w:t xml:space="preserve">e expect that IMF programs </w:t>
      </w:r>
      <w:r w:rsidR="00485B7D">
        <w:rPr>
          <w:sz w:val="24"/>
          <w:szCs w:val="24"/>
          <w:lang w:val="en-US"/>
        </w:rPr>
        <w:t xml:space="preserve">should be more </w:t>
      </w:r>
      <w:r w:rsidR="00E16B2F">
        <w:rPr>
          <w:sz w:val="24"/>
          <w:szCs w:val="24"/>
          <w:lang w:val="en-US"/>
        </w:rPr>
        <w:t xml:space="preserve">likely to </w:t>
      </w:r>
      <w:r w:rsidR="00562238">
        <w:rPr>
          <w:sz w:val="24"/>
          <w:szCs w:val="24"/>
          <w:lang w:val="en-US"/>
        </w:rPr>
        <w:t xml:space="preserve">trigger </w:t>
      </w:r>
      <w:r w:rsidR="00F50214">
        <w:rPr>
          <w:sz w:val="24"/>
          <w:szCs w:val="24"/>
          <w:lang w:val="en-US"/>
        </w:rPr>
        <w:t xml:space="preserve">new </w:t>
      </w:r>
      <w:r w:rsidRPr="00F26EF7">
        <w:rPr>
          <w:sz w:val="24"/>
          <w:szCs w:val="24"/>
          <w:lang w:val="en-US"/>
        </w:rPr>
        <w:t xml:space="preserve">urban protest </w:t>
      </w:r>
      <w:r w:rsidR="00562238">
        <w:rPr>
          <w:sz w:val="24"/>
          <w:szCs w:val="24"/>
          <w:lang w:val="en-US"/>
        </w:rPr>
        <w:t xml:space="preserve">rather than </w:t>
      </w:r>
      <w:r w:rsidR="00485B7D">
        <w:rPr>
          <w:sz w:val="24"/>
          <w:szCs w:val="24"/>
          <w:lang w:val="en-US"/>
        </w:rPr>
        <w:t xml:space="preserve">ethnic or rural violent conflict typically </w:t>
      </w:r>
      <w:r w:rsidR="00F50214">
        <w:rPr>
          <w:sz w:val="24"/>
          <w:szCs w:val="24"/>
          <w:lang w:val="en-US"/>
        </w:rPr>
        <w:t xml:space="preserve">recorded in data on </w:t>
      </w:r>
      <w:r w:rsidR="00485B7D">
        <w:rPr>
          <w:sz w:val="24"/>
          <w:szCs w:val="24"/>
          <w:lang w:val="en-US"/>
        </w:rPr>
        <w:t xml:space="preserve">armed </w:t>
      </w:r>
      <w:r w:rsidR="005658E6">
        <w:rPr>
          <w:sz w:val="24"/>
          <w:szCs w:val="24"/>
          <w:lang w:val="en-US"/>
        </w:rPr>
        <w:t xml:space="preserve">civil </w:t>
      </w:r>
      <w:r w:rsidR="00485B7D">
        <w:rPr>
          <w:sz w:val="24"/>
          <w:szCs w:val="24"/>
          <w:lang w:val="en-US"/>
        </w:rPr>
        <w:t>conflict</w:t>
      </w:r>
      <w:r w:rsidR="00044537">
        <w:rPr>
          <w:sz w:val="24"/>
          <w:szCs w:val="24"/>
          <w:lang w:val="en-US"/>
        </w:rPr>
        <w:t xml:space="preserve">. </w:t>
      </w:r>
      <w:r w:rsidR="00485B7D">
        <w:rPr>
          <w:sz w:val="24"/>
          <w:szCs w:val="24"/>
          <w:lang w:val="en-US"/>
        </w:rPr>
        <w:t xml:space="preserve">We </w:t>
      </w:r>
      <w:r w:rsidRPr="00F26EF7">
        <w:rPr>
          <w:sz w:val="24"/>
          <w:szCs w:val="24"/>
          <w:lang w:val="en-US"/>
        </w:rPr>
        <w:t xml:space="preserve">contrast </w:t>
      </w:r>
      <w:r w:rsidR="00044537">
        <w:rPr>
          <w:sz w:val="24"/>
          <w:szCs w:val="24"/>
          <w:lang w:val="en-US"/>
        </w:rPr>
        <w:t xml:space="preserve">and explicitly compare </w:t>
      </w:r>
      <w:r w:rsidRPr="00F26EF7">
        <w:rPr>
          <w:sz w:val="24"/>
          <w:szCs w:val="24"/>
          <w:lang w:val="en-US"/>
        </w:rPr>
        <w:t xml:space="preserve">the effects of crises and IMF programs on violent and </w:t>
      </w:r>
      <w:r w:rsidR="005D3E4B" w:rsidRPr="00F26EF7">
        <w:rPr>
          <w:sz w:val="24"/>
          <w:szCs w:val="24"/>
          <w:lang w:val="en-US"/>
        </w:rPr>
        <w:t>nonviol</w:t>
      </w:r>
      <w:r w:rsidRPr="00F26EF7">
        <w:rPr>
          <w:sz w:val="24"/>
          <w:szCs w:val="24"/>
          <w:lang w:val="en-US"/>
        </w:rPr>
        <w:t xml:space="preserve">ent protests. Second, our research design takes </w:t>
      </w:r>
      <w:r w:rsidR="00BE35C0" w:rsidRPr="00F26EF7">
        <w:rPr>
          <w:sz w:val="24"/>
          <w:szCs w:val="24"/>
          <w:lang w:val="en-US"/>
        </w:rPr>
        <w:t xml:space="preserve">into account </w:t>
      </w:r>
      <w:r w:rsidRPr="00F26EF7">
        <w:rPr>
          <w:sz w:val="24"/>
          <w:szCs w:val="24"/>
          <w:lang w:val="en-US"/>
        </w:rPr>
        <w:t xml:space="preserve">the endogenous nature of IMF interventions, </w:t>
      </w:r>
      <w:r w:rsidR="00C20E1C" w:rsidRPr="00F26EF7">
        <w:rPr>
          <w:sz w:val="24"/>
          <w:szCs w:val="24"/>
          <w:lang w:val="en-US"/>
        </w:rPr>
        <w:t xml:space="preserve">since IMF lending is extended to countries that are already in crisis, using </w:t>
      </w:r>
      <w:r w:rsidRPr="00F26EF7">
        <w:rPr>
          <w:sz w:val="24"/>
          <w:szCs w:val="24"/>
          <w:lang w:val="en-US"/>
        </w:rPr>
        <w:t>the number of IMF staff in a potential crisis state as the main instrument</w:t>
      </w:r>
      <w:r w:rsidR="00BE35C0" w:rsidRPr="00F26EF7">
        <w:rPr>
          <w:sz w:val="24"/>
          <w:szCs w:val="24"/>
          <w:lang w:val="en-US"/>
        </w:rPr>
        <w:t xml:space="preserve"> for IMF programs</w:t>
      </w:r>
      <w:r w:rsidRPr="00F26EF7">
        <w:rPr>
          <w:sz w:val="24"/>
          <w:szCs w:val="24"/>
          <w:lang w:val="en-US"/>
        </w:rPr>
        <w:t xml:space="preserve">. Third, we use quarterly data in order </w:t>
      </w:r>
      <w:r w:rsidR="00537BCA" w:rsidRPr="00F26EF7">
        <w:rPr>
          <w:sz w:val="24"/>
          <w:szCs w:val="24"/>
          <w:lang w:val="en-US"/>
        </w:rPr>
        <w:t xml:space="preserve">to </w:t>
      </w:r>
      <w:r w:rsidRPr="00F26EF7">
        <w:rPr>
          <w:sz w:val="24"/>
          <w:szCs w:val="24"/>
          <w:lang w:val="en-US"/>
        </w:rPr>
        <w:t xml:space="preserve">avoid the </w:t>
      </w:r>
      <w:r w:rsidR="00485B7D">
        <w:rPr>
          <w:sz w:val="24"/>
          <w:szCs w:val="24"/>
          <w:lang w:val="en-US"/>
        </w:rPr>
        <w:t xml:space="preserve">possible </w:t>
      </w:r>
      <w:r w:rsidRPr="00F26EF7">
        <w:rPr>
          <w:sz w:val="24"/>
          <w:szCs w:val="24"/>
          <w:lang w:val="en-US"/>
        </w:rPr>
        <w:t xml:space="preserve">bias </w:t>
      </w:r>
      <w:r w:rsidR="00485B7D">
        <w:rPr>
          <w:sz w:val="24"/>
          <w:szCs w:val="24"/>
          <w:lang w:val="en-US"/>
        </w:rPr>
        <w:t xml:space="preserve">in annual </w:t>
      </w:r>
      <w:r w:rsidRPr="00F26EF7">
        <w:rPr>
          <w:sz w:val="24"/>
          <w:szCs w:val="24"/>
          <w:lang w:val="en-US"/>
        </w:rPr>
        <w:t xml:space="preserve">aggregation </w:t>
      </w:r>
      <w:r w:rsidR="00BE35C0" w:rsidRPr="00F26EF7">
        <w:rPr>
          <w:sz w:val="24"/>
          <w:szCs w:val="24"/>
          <w:lang w:val="en-US"/>
        </w:rPr>
        <w:t xml:space="preserve">and to ease the typical </w:t>
      </w:r>
      <w:r w:rsidR="00353D9B" w:rsidRPr="00F26EF7">
        <w:rPr>
          <w:sz w:val="24"/>
          <w:szCs w:val="24"/>
          <w:lang w:val="en-US"/>
        </w:rPr>
        <w:t xml:space="preserve">temporal </w:t>
      </w:r>
      <w:r w:rsidR="00BE35C0" w:rsidRPr="00F26EF7">
        <w:rPr>
          <w:sz w:val="24"/>
          <w:szCs w:val="24"/>
          <w:lang w:val="en-US"/>
        </w:rPr>
        <w:t>identification problems encountered in existing research</w:t>
      </w:r>
      <w:r w:rsidRPr="00F26EF7">
        <w:rPr>
          <w:sz w:val="24"/>
          <w:szCs w:val="24"/>
          <w:lang w:val="en-US"/>
        </w:rPr>
        <w:t xml:space="preserve">. Our results </w:t>
      </w:r>
      <w:r w:rsidR="00044537">
        <w:rPr>
          <w:sz w:val="24"/>
          <w:szCs w:val="24"/>
          <w:lang w:val="en-US"/>
        </w:rPr>
        <w:t xml:space="preserve">indicate that financial </w:t>
      </w:r>
      <w:r w:rsidRPr="00F26EF7">
        <w:rPr>
          <w:sz w:val="24"/>
          <w:szCs w:val="24"/>
          <w:lang w:val="en-US"/>
        </w:rPr>
        <w:t>crises</w:t>
      </w:r>
      <w:r w:rsidR="00B16D19" w:rsidRPr="00F26EF7">
        <w:rPr>
          <w:sz w:val="24"/>
          <w:szCs w:val="24"/>
          <w:lang w:val="en-US"/>
        </w:rPr>
        <w:t xml:space="preserve"> </w:t>
      </w:r>
      <w:r w:rsidRPr="00F26EF7">
        <w:rPr>
          <w:sz w:val="24"/>
          <w:szCs w:val="24"/>
          <w:lang w:val="en-US"/>
        </w:rPr>
        <w:t>a</w:t>
      </w:r>
      <w:r w:rsidR="000E08FF" w:rsidRPr="00F26EF7">
        <w:rPr>
          <w:sz w:val="24"/>
          <w:szCs w:val="24"/>
          <w:lang w:val="en-US"/>
        </w:rPr>
        <w:t>s well as</w:t>
      </w:r>
      <w:r w:rsidRPr="00F26EF7">
        <w:rPr>
          <w:sz w:val="24"/>
          <w:szCs w:val="24"/>
          <w:lang w:val="en-US"/>
        </w:rPr>
        <w:t xml:space="preserve"> </w:t>
      </w:r>
      <w:r w:rsidR="005A01D2" w:rsidRPr="00F26EF7">
        <w:rPr>
          <w:sz w:val="24"/>
          <w:szCs w:val="24"/>
          <w:lang w:val="en-US"/>
        </w:rPr>
        <w:t>measure</w:t>
      </w:r>
      <w:r w:rsidR="00044537">
        <w:rPr>
          <w:sz w:val="24"/>
          <w:szCs w:val="24"/>
          <w:lang w:val="en-US"/>
        </w:rPr>
        <w:t>s</w:t>
      </w:r>
      <w:r w:rsidR="005A01D2" w:rsidRPr="00F26EF7">
        <w:rPr>
          <w:sz w:val="24"/>
          <w:szCs w:val="24"/>
          <w:lang w:val="en-US"/>
        </w:rPr>
        <w:t xml:space="preserve"> of </w:t>
      </w:r>
      <w:r w:rsidR="00044537">
        <w:rPr>
          <w:sz w:val="24"/>
          <w:szCs w:val="24"/>
          <w:lang w:val="en-US"/>
        </w:rPr>
        <w:t xml:space="preserve">their impact </w:t>
      </w:r>
      <w:r w:rsidRPr="00F26EF7">
        <w:rPr>
          <w:sz w:val="24"/>
          <w:szCs w:val="24"/>
          <w:lang w:val="en-US"/>
        </w:rPr>
        <w:t xml:space="preserve">increase the risk of mass mobilization, but that IMF program participation </w:t>
      </w:r>
      <w:r w:rsidR="00FF3FD5" w:rsidRPr="00F26EF7">
        <w:rPr>
          <w:sz w:val="24"/>
          <w:szCs w:val="24"/>
          <w:lang w:val="en-US"/>
        </w:rPr>
        <w:t xml:space="preserve">actually </w:t>
      </w:r>
      <w:r w:rsidRPr="00F26EF7">
        <w:rPr>
          <w:sz w:val="24"/>
          <w:szCs w:val="24"/>
          <w:lang w:val="en-US"/>
        </w:rPr>
        <w:t xml:space="preserve">reduces </w:t>
      </w:r>
      <w:r w:rsidR="005D3E4B" w:rsidRPr="00F26EF7">
        <w:rPr>
          <w:sz w:val="24"/>
          <w:szCs w:val="24"/>
          <w:lang w:val="en-US"/>
        </w:rPr>
        <w:t>nonviol</w:t>
      </w:r>
      <w:r w:rsidRPr="00F26EF7">
        <w:rPr>
          <w:sz w:val="24"/>
          <w:szCs w:val="24"/>
          <w:lang w:val="en-US"/>
        </w:rPr>
        <w:t xml:space="preserve">ent social protests and does not </w:t>
      </w:r>
      <w:r w:rsidR="00044537">
        <w:rPr>
          <w:sz w:val="24"/>
          <w:szCs w:val="24"/>
          <w:lang w:val="en-US"/>
        </w:rPr>
        <w:t xml:space="preserve">affect </w:t>
      </w:r>
      <w:r w:rsidRPr="00F26EF7">
        <w:rPr>
          <w:sz w:val="24"/>
          <w:szCs w:val="24"/>
          <w:lang w:val="en-US"/>
        </w:rPr>
        <w:t xml:space="preserve">the risk of political violence in any systematic way.  </w:t>
      </w:r>
    </w:p>
    <w:p w14:paraId="02B22DA7" w14:textId="77777777" w:rsidR="00F405BC" w:rsidRPr="00F26EF7" w:rsidRDefault="00F405BC">
      <w:pPr>
        <w:rPr>
          <w:b/>
          <w:sz w:val="24"/>
          <w:szCs w:val="24"/>
          <w:lang w:val="en-US"/>
        </w:rPr>
      </w:pPr>
    </w:p>
    <w:p w14:paraId="088E030A" w14:textId="77777777" w:rsidR="00F405BC" w:rsidRPr="00F26EF7" w:rsidRDefault="00D4646A" w:rsidP="00856037">
      <w:pPr>
        <w:outlineLvl w:val="0"/>
        <w:rPr>
          <w:b/>
          <w:sz w:val="24"/>
          <w:szCs w:val="24"/>
          <w:lang w:val="en-US"/>
        </w:rPr>
      </w:pPr>
      <w:r w:rsidRPr="00F26EF7">
        <w:rPr>
          <w:b/>
          <w:sz w:val="24"/>
          <w:szCs w:val="24"/>
          <w:lang w:val="en-US"/>
        </w:rPr>
        <w:t>Crises, compensation and mobilization: Theory</w:t>
      </w:r>
    </w:p>
    <w:p w14:paraId="4B173FEC" w14:textId="08CF8A87" w:rsidR="00F405BC" w:rsidRPr="00F26EF7" w:rsidRDefault="00D4646A">
      <w:pPr>
        <w:rPr>
          <w:lang w:val="en-US"/>
        </w:rPr>
      </w:pPr>
      <w:r w:rsidRPr="00F26EF7">
        <w:rPr>
          <w:sz w:val="24"/>
          <w:szCs w:val="24"/>
          <w:lang w:val="en-US"/>
        </w:rPr>
        <w:t xml:space="preserve">There </w:t>
      </w:r>
      <w:r w:rsidR="00044537">
        <w:rPr>
          <w:sz w:val="24"/>
          <w:szCs w:val="24"/>
          <w:lang w:val="en-US"/>
        </w:rPr>
        <w:t xml:space="preserve">is </w:t>
      </w:r>
      <w:r w:rsidRPr="00F26EF7">
        <w:rPr>
          <w:sz w:val="24"/>
          <w:szCs w:val="24"/>
          <w:lang w:val="en-US"/>
        </w:rPr>
        <w:t>growing interest in ant</w:t>
      </w:r>
      <w:r w:rsidR="00642B02" w:rsidRPr="00F26EF7">
        <w:rPr>
          <w:sz w:val="24"/>
          <w:szCs w:val="24"/>
          <w:lang w:val="en-US"/>
        </w:rPr>
        <w:t xml:space="preserve">i-government mass mobilizations, </w:t>
      </w:r>
      <w:r w:rsidRPr="00F26EF7">
        <w:rPr>
          <w:sz w:val="24"/>
          <w:szCs w:val="24"/>
          <w:lang w:val="en-US"/>
        </w:rPr>
        <w:t>following the Arab Spring and other</w:t>
      </w:r>
      <w:r w:rsidR="00BC3139" w:rsidRPr="00F26EF7">
        <w:rPr>
          <w:sz w:val="24"/>
          <w:szCs w:val="24"/>
          <w:lang w:val="en-US"/>
        </w:rPr>
        <w:t xml:space="preserve"> prominent </w:t>
      </w:r>
      <w:r w:rsidRPr="00F26EF7">
        <w:rPr>
          <w:sz w:val="24"/>
          <w:szCs w:val="24"/>
          <w:lang w:val="en-US"/>
        </w:rPr>
        <w:t xml:space="preserve">uprisings around the world. </w:t>
      </w:r>
      <w:r w:rsidR="00183906" w:rsidRPr="00F26EF7">
        <w:rPr>
          <w:sz w:val="24"/>
          <w:szCs w:val="24"/>
          <w:lang w:val="en-US"/>
        </w:rPr>
        <w:t xml:space="preserve">One important insight of this emerging literature is </w:t>
      </w:r>
      <w:r w:rsidR="007068B0">
        <w:rPr>
          <w:sz w:val="24"/>
          <w:szCs w:val="24"/>
          <w:lang w:val="en-US"/>
        </w:rPr>
        <w:t xml:space="preserve">that nonviolent </w:t>
      </w:r>
      <w:r w:rsidRPr="00F26EF7">
        <w:rPr>
          <w:sz w:val="24"/>
          <w:szCs w:val="24"/>
          <w:lang w:val="en-US"/>
        </w:rPr>
        <w:t xml:space="preserve">mass uprisings </w:t>
      </w:r>
      <w:r w:rsidR="00E77B17">
        <w:rPr>
          <w:sz w:val="24"/>
          <w:szCs w:val="24"/>
          <w:lang w:val="en-US"/>
        </w:rPr>
        <w:t xml:space="preserve">spurred by economic crises </w:t>
      </w:r>
      <w:r w:rsidR="00B7291F">
        <w:rPr>
          <w:sz w:val="24"/>
          <w:szCs w:val="24"/>
          <w:lang w:val="en-US"/>
        </w:rPr>
        <w:t xml:space="preserve">tend </w:t>
      </w:r>
      <w:r w:rsidR="007A6526">
        <w:rPr>
          <w:sz w:val="24"/>
          <w:szCs w:val="24"/>
          <w:lang w:val="en-US"/>
        </w:rPr>
        <w:t>involve different relevant actors</w:t>
      </w:r>
      <w:r w:rsidR="007A6526" w:rsidRPr="00F26EF7">
        <w:rPr>
          <w:sz w:val="24"/>
          <w:szCs w:val="24"/>
          <w:lang w:val="en-US"/>
        </w:rPr>
        <w:t xml:space="preserve"> and events </w:t>
      </w:r>
      <w:r w:rsidR="007A6526">
        <w:rPr>
          <w:sz w:val="24"/>
          <w:szCs w:val="24"/>
          <w:lang w:val="en-US"/>
        </w:rPr>
        <w:t xml:space="preserve">than those emphasized </w:t>
      </w:r>
      <w:r w:rsidRPr="00F26EF7">
        <w:rPr>
          <w:sz w:val="24"/>
          <w:szCs w:val="24"/>
          <w:lang w:val="en-US"/>
        </w:rPr>
        <w:t xml:space="preserve">in the study of conventional civil wars. </w:t>
      </w:r>
      <w:r w:rsidR="002B2878">
        <w:rPr>
          <w:sz w:val="24"/>
          <w:szCs w:val="24"/>
          <w:lang w:val="en-US"/>
        </w:rPr>
        <w:t>W</w:t>
      </w:r>
      <w:r w:rsidR="00642B02" w:rsidRPr="00F26EF7">
        <w:rPr>
          <w:sz w:val="24"/>
          <w:szCs w:val="24"/>
          <w:lang w:val="en-US"/>
        </w:rPr>
        <w:t xml:space="preserve">hereas </w:t>
      </w:r>
      <w:r w:rsidRPr="00F26EF7">
        <w:rPr>
          <w:sz w:val="24"/>
          <w:szCs w:val="24"/>
          <w:lang w:val="en-US"/>
        </w:rPr>
        <w:t xml:space="preserve">many civil wars </w:t>
      </w:r>
      <w:r w:rsidR="007A6526">
        <w:rPr>
          <w:sz w:val="24"/>
          <w:szCs w:val="24"/>
          <w:lang w:val="en-US"/>
        </w:rPr>
        <w:t xml:space="preserve">are </w:t>
      </w:r>
      <w:r w:rsidRPr="00F26EF7">
        <w:rPr>
          <w:sz w:val="24"/>
          <w:szCs w:val="24"/>
          <w:lang w:val="en-US"/>
        </w:rPr>
        <w:t>involve discriminated ethnic groups seeking secession or greater autonomy, mass mobilizations are normally direc</w:t>
      </w:r>
      <w:r w:rsidR="00087D60">
        <w:rPr>
          <w:sz w:val="24"/>
          <w:szCs w:val="24"/>
          <w:lang w:val="en-US"/>
        </w:rPr>
        <w:t>ted at the government or regime</w:t>
      </w:r>
      <w:r w:rsidR="00E77B17">
        <w:rPr>
          <w:sz w:val="24"/>
          <w:szCs w:val="24"/>
          <w:lang w:val="en-US"/>
        </w:rPr>
        <w:t xml:space="preserve"> </w:t>
      </w:r>
      <w:r w:rsidRPr="00F26EF7">
        <w:rPr>
          <w:sz w:val="24"/>
          <w:szCs w:val="24"/>
          <w:lang w:val="en-US"/>
        </w:rPr>
        <w:t xml:space="preserve">and </w:t>
      </w:r>
      <w:r w:rsidR="00E77B17">
        <w:rPr>
          <w:sz w:val="24"/>
          <w:szCs w:val="24"/>
          <w:lang w:val="en-US"/>
        </w:rPr>
        <w:t xml:space="preserve">more likely to </w:t>
      </w:r>
      <w:r w:rsidR="00087D60">
        <w:rPr>
          <w:sz w:val="24"/>
          <w:szCs w:val="24"/>
          <w:lang w:val="en-US"/>
        </w:rPr>
        <w:t xml:space="preserve">be </w:t>
      </w:r>
      <w:r w:rsidRPr="00F26EF7">
        <w:rPr>
          <w:sz w:val="24"/>
          <w:szCs w:val="24"/>
          <w:lang w:val="en-US"/>
        </w:rPr>
        <w:t xml:space="preserve">non-sectarian. </w:t>
      </w:r>
      <w:r w:rsidR="007A6526">
        <w:rPr>
          <w:sz w:val="24"/>
          <w:szCs w:val="24"/>
          <w:lang w:val="en-US"/>
        </w:rPr>
        <w:t>Moreover, s</w:t>
      </w:r>
      <w:r w:rsidRPr="00F26EF7">
        <w:rPr>
          <w:sz w:val="24"/>
          <w:szCs w:val="24"/>
          <w:lang w:val="en-US"/>
        </w:rPr>
        <w:t xml:space="preserve">eparatist conflicts often take place in </w:t>
      </w:r>
      <w:r w:rsidR="00023040" w:rsidRPr="00F26EF7">
        <w:rPr>
          <w:sz w:val="24"/>
          <w:szCs w:val="24"/>
          <w:lang w:val="en-US"/>
        </w:rPr>
        <w:t xml:space="preserve">the </w:t>
      </w:r>
      <w:r w:rsidR="00347A97" w:rsidRPr="00F26EF7">
        <w:rPr>
          <w:sz w:val="24"/>
          <w:szCs w:val="24"/>
          <w:lang w:val="en-US"/>
        </w:rPr>
        <w:t>disputed areas</w:t>
      </w:r>
      <w:r w:rsidR="000578FC">
        <w:rPr>
          <w:sz w:val="24"/>
          <w:szCs w:val="24"/>
          <w:lang w:val="en-US"/>
        </w:rPr>
        <w:t xml:space="preserve"> in the periphery</w:t>
      </w:r>
      <w:r w:rsidRPr="00F26EF7">
        <w:rPr>
          <w:sz w:val="24"/>
          <w:szCs w:val="24"/>
          <w:lang w:val="en-US"/>
        </w:rPr>
        <w:t>,</w:t>
      </w:r>
      <w:r w:rsidR="00FD1295">
        <w:rPr>
          <w:sz w:val="24"/>
          <w:szCs w:val="24"/>
          <w:lang w:val="en-US"/>
        </w:rPr>
        <w:t xml:space="preserve"> often with small armed groups using the tactics of guerrilla warfare,</w:t>
      </w:r>
      <w:r w:rsidRPr="00F26EF7">
        <w:rPr>
          <w:sz w:val="24"/>
          <w:szCs w:val="24"/>
          <w:lang w:val="en-US"/>
        </w:rPr>
        <w:t xml:space="preserve"> </w:t>
      </w:r>
      <w:r w:rsidR="007A6526">
        <w:rPr>
          <w:sz w:val="24"/>
          <w:szCs w:val="24"/>
          <w:lang w:val="en-US"/>
        </w:rPr>
        <w:t xml:space="preserve">while </w:t>
      </w:r>
      <w:r w:rsidRPr="00F26EF7">
        <w:rPr>
          <w:sz w:val="24"/>
          <w:szCs w:val="24"/>
          <w:lang w:val="en-US"/>
        </w:rPr>
        <w:t xml:space="preserve">anti-government uprisings typically </w:t>
      </w:r>
      <w:r w:rsidR="003C72B3" w:rsidRPr="00F26EF7">
        <w:rPr>
          <w:sz w:val="24"/>
          <w:szCs w:val="24"/>
          <w:lang w:val="en-US"/>
        </w:rPr>
        <w:t xml:space="preserve">occur </w:t>
      </w:r>
      <w:r w:rsidRPr="00F26EF7">
        <w:rPr>
          <w:sz w:val="24"/>
          <w:szCs w:val="24"/>
          <w:lang w:val="en-US"/>
        </w:rPr>
        <w:t xml:space="preserve">in </w:t>
      </w:r>
      <w:r w:rsidR="00F87707" w:rsidRPr="00F26EF7">
        <w:rPr>
          <w:sz w:val="24"/>
          <w:szCs w:val="24"/>
          <w:lang w:val="en-US"/>
        </w:rPr>
        <w:t xml:space="preserve">core </w:t>
      </w:r>
      <w:r w:rsidR="002303D3">
        <w:rPr>
          <w:sz w:val="24"/>
          <w:szCs w:val="24"/>
          <w:lang w:val="en-US"/>
        </w:rPr>
        <w:t xml:space="preserve">cities, </w:t>
      </w:r>
      <w:r w:rsidRPr="00F26EF7">
        <w:rPr>
          <w:sz w:val="24"/>
          <w:szCs w:val="24"/>
          <w:lang w:val="en-US"/>
        </w:rPr>
        <w:t xml:space="preserve">and </w:t>
      </w:r>
      <w:r w:rsidR="00FD4C4B">
        <w:rPr>
          <w:sz w:val="24"/>
          <w:szCs w:val="24"/>
          <w:lang w:val="en-US"/>
        </w:rPr>
        <w:t xml:space="preserve">their </w:t>
      </w:r>
      <w:r w:rsidRPr="00F26EF7">
        <w:rPr>
          <w:sz w:val="24"/>
          <w:szCs w:val="24"/>
          <w:lang w:val="en-US"/>
        </w:rPr>
        <w:t xml:space="preserve">impact </w:t>
      </w:r>
      <w:r w:rsidR="00FF7806" w:rsidRPr="00F26EF7">
        <w:rPr>
          <w:sz w:val="24"/>
          <w:szCs w:val="24"/>
          <w:lang w:val="en-US"/>
        </w:rPr>
        <w:t xml:space="preserve">on </w:t>
      </w:r>
      <w:r w:rsidR="00FD4C4B">
        <w:rPr>
          <w:sz w:val="24"/>
          <w:szCs w:val="24"/>
          <w:lang w:val="en-US"/>
        </w:rPr>
        <w:t xml:space="preserve">the </w:t>
      </w:r>
      <w:r w:rsidR="00FF7806" w:rsidRPr="00F26EF7">
        <w:rPr>
          <w:sz w:val="24"/>
          <w:szCs w:val="24"/>
          <w:lang w:val="en-US"/>
        </w:rPr>
        <w:t xml:space="preserve">government </w:t>
      </w:r>
      <w:r w:rsidR="00FD4C4B">
        <w:rPr>
          <w:sz w:val="24"/>
          <w:szCs w:val="24"/>
          <w:lang w:val="en-US"/>
        </w:rPr>
        <w:t xml:space="preserve">depends on </w:t>
      </w:r>
      <w:r w:rsidRPr="00F26EF7">
        <w:rPr>
          <w:sz w:val="24"/>
          <w:szCs w:val="24"/>
          <w:lang w:val="en-US"/>
        </w:rPr>
        <w:t>presence in the capital</w:t>
      </w:r>
      <w:r w:rsidR="007A6526">
        <w:rPr>
          <w:sz w:val="24"/>
          <w:szCs w:val="24"/>
          <w:lang w:val="en-US"/>
        </w:rPr>
        <w:t xml:space="preserve"> and e</w:t>
      </w:r>
      <w:r w:rsidR="00F26133">
        <w:rPr>
          <w:sz w:val="24"/>
          <w:szCs w:val="24"/>
          <w:lang w:val="en-US"/>
        </w:rPr>
        <w:t xml:space="preserve">ffect </w:t>
      </w:r>
      <w:r w:rsidR="007A6526">
        <w:rPr>
          <w:sz w:val="24"/>
          <w:szCs w:val="24"/>
          <w:lang w:val="en-US"/>
        </w:rPr>
        <w:t xml:space="preserve">on </w:t>
      </w:r>
      <w:r w:rsidR="00F26133">
        <w:rPr>
          <w:sz w:val="24"/>
          <w:szCs w:val="24"/>
          <w:lang w:val="en-US"/>
        </w:rPr>
        <w:t xml:space="preserve">the </w:t>
      </w:r>
      <w:r w:rsidR="00FD4C4B">
        <w:rPr>
          <w:sz w:val="24"/>
          <w:szCs w:val="24"/>
          <w:lang w:val="en-US"/>
        </w:rPr>
        <w:t>formal economy</w:t>
      </w:r>
      <w:r w:rsidRPr="00F26EF7">
        <w:rPr>
          <w:sz w:val="24"/>
          <w:szCs w:val="24"/>
          <w:lang w:val="en-US"/>
        </w:rPr>
        <w:t>.</w:t>
      </w:r>
    </w:p>
    <w:p w14:paraId="55FC0E6D" w14:textId="393DEF02" w:rsidR="00F405BC" w:rsidRPr="00F26EF7" w:rsidRDefault="00347A97">
      <w:pPr>
        <w:rPr>
          <w:sz w:val="24"/>
          <w:szCs w:val="24"/>
          <w:lang w:val="en-US"/>
        </w:rPr>
      </w:pPr>
      <w:r w:rsidRPr="00F26EF7">
        <w:rPr>
          <w:sz w:val="24"/>
          <w:szCs w:val="24"/>
          <w:lang w:val="en-US"/>
        </w:rPr>
        <w:t xml:space="preserve">Economic factors and crises </w:t>
      </w:r>
      <w:r w:rsidR="004C3842">
        <w:rPr>
          <w:sz w:val="24"/>
          <w:szCs w:val="24"/>
          <w:lang w:val="en-US"/>
        </w:rPr>
        <w:t xml:space="preserve">figured </w:t>
      </w:r>
      <w:r w:rsidRPr="00F26EF7">
        <w:rPr>
          <w:sz w:val="24"/>
          <w:szCs w:val="24"/>
          <w:lang w:val="en-US"/>
        </w:rPr>
        <w:t>prominent</w:t>
      </w:r>
      <w:r w:rsidR="004C3842">
        <w:rPr>
          <w:sz w:val="24"/>
          <w:szCs w:val="24"/>
          <w:lang w:val="en-US"/>
        </w:rPr>
        <w:t>ly</w:t>
      </w:r>
      <w:r w:rsidRPr="00F26EF7">
        <w:rPr>
          <w:sz w:val="24"/>
          <w:szCs w:val="24"/>
          <w:lang w:val="en-US"/>
        </w:rPr>
        <w:t xml:space="preserve"> in the </w:t>
      </w:r>
      <w:r w:rsidR="00A97D4B">
        <w:rPr>
          <w:sz w:val="24"/>
          <w:szCs w:val="24"/>
          <w:lang w:val="en-US"/>
        </w:rPr>
        <w:t xml:space="preserve">early </w:t>
      </w:r>
      <w:r w:rsidR="003C1D33" w:rsidRPr="00F26EF7">
        <w:rPr>
          <w:sz w:val="24"/>
          <w:szCs w:val="24"/>
          <w:lang w:val="en-US"/>
        </w:rPr>
        <w:t xml:space="preserve">research on relative deprivation </w:t>
      </w:r>
      <w:r w:rsidR="00A97D4B">
        <w:rPr>
          <w:sz w:val="24"/>
          <w:szCs w:val="24"/>
          <w:lang w:val="en-US"/>
        </w:rPr>
        <w:t xml:space="preserve">as a motivation for </w:t>
      </w:r>
      <w:r w:rsidR="00E813FD">
        <w:rPr>
          <w:sz w:val="24"/>
          <w:szCs w:val="24"/>
          <w:lang w:val="en-US"/>
        </w:rPr>
        <w:t xml:space="preserve">political </w:t>
      </w:r>
      <w:r w:rsidR="003C1D33" w:rsidRPr="00F26EF7">
        <w:rPr>
          <w:sz w:val="24"/>
          <w:szCs w:val="24"/>
          <w:lang w:val="en-US"/>
        </w:rPr>
        <w:t>protest (see Davies 1962; Gurr 1970)</w:t>
      </w:r>
      <w:r w:rsidRPr="00F26EF7">
        <w:rPr>
          <w:sz w:val="24"/>
          <w:szCs w:val="24"/>
          <w:lang w:val="en-US"/>
        </w:rPr>
        <w:t>. However</w:t>
      </w:r>
      <w:r w:rsidR="003C1D33" w:rsidRPr="00F26EF7">
        <w:rPr>
          <w:sz w:val="24"/>
          <w:szCs w:val="24"/>
          <w:lang w:val="en-US"/>
        </w:rPr>
        <w:t xml:space="preserve">, the </w:t>
      </w:r>
      <w:r w:rsidRPr="00F26EF7">
        <w:rPr>
          <w:sz w:val="24"/>
          <w:szCs w:val="24"/>
          <w:lang w:val="en-US"/>
        </w:rPr>
        <w:t xml:space="preserve">backlash against grievance-based </w:t>
      </w:r>
      <w:r w:rsidR="003C1D33" w:rsidRPr="00F26EF7">
        <w:rPr>
          <w:sz w:val="24"/>
          <w:szCs w:val="24"/>
          <w:lang w:val="en-US"/>
        </w:rPr>
        <w:t xml:space="preserve">explanations </w:t>
      </w:r>
      <w:r w:rsidRPr="00F26EF7">
        <w:rPr>
          <w:sz w:val="24"/>
          <w:szCs w:val="24"/>
          <w:lang w:val="en-US"/>
        </w:rPr>
        <w:t>may have gone too far in emphasizing</w:t>
      </w:r>
      <w:r w:rsidR="003C1D33" w:rsidRPr="00F26EF7">
        <w:rPr>
          <w:sz w:val="24"/>
          <w:szCs w:val="24"/>
          <w:lang w:val="en-US"/>
        </w:rPr>
        <w:t xml:space="preserve"> political </w:t>
      </w:r>
      <w:r w:rsidR="00A97D4B" w:rsidRPr="00F26EF7">
        <w:rPr>
          <w:sz w:val="24"/>
          <w:szCs w:val="24"/>
          <w:lang w:val="en-US"/>
        </w:rPr>
        <w:t xml:space="preserve">resources </w:t>
      </w:r>
      <w:r w:rsidR="00A97D4B">
        <w:rPr>
          <w:sz w:val="24"/>
          <w:szCs w:val="24"/>
          <w:lang w:val="en-US"/>
        </w:rPr>
        <w:t xml:space="preserve">and </w:t>
      </w:r>
      <w:r w:rsidR="003C1D33" w:rsidRPr="00F26EF7">
        <w:rPr>
          <w:sz w:val="24"/>
          <w:szCs w:val="24"/>
          <w:lang w:val="en-US"/>
        </w:rPr>
        <w:t xml:space="preserve">opportunity structures. </w:t>
      </w:r>
      <w:r w:rsidR="00E813FD">
        <w:rPr>
          <w:sz w:val="24"/>
          <w:szCs w:val="24"/>
          <w:lang w:val="en-US"/>
        </w:rPr>
        <w:t>Since r</w:t>
      </w:r>
      <w:r w:rsidR="00D4646A" w:rsidRPr="00F26EF7">
        <w:rPr>
          <w:sz w:val="24"/>
          <w:szCs w:val="24"/>
          <w:lang w:val="en-US"/>
        </w:rPr>
        <w:t xml:space="preserve">ecent research </w:t>
      </w:r>
      <w:r w:rsidR="00A97D4B">
        <w:rPr>
          <w:sz w:val="24"/>
          <w:szCs w:val="24"/>
          <w:lang w:val="en-US"/>
        </w:rPr>
        <w:t xml:space="preserve">has focused </w:t>
      </w:r>
      <w:r w:rsidR="002D7147" w:rsidRPr="00F26EF7">
        <w:rPr>
          <w:sz w:val="24"/>
          <w:szCs w:val="24"/>
          <w:lang w:val="en-US"/>
        </w:rPr>
        <w:t xml:space="preserve">primarily </w:t>
      </w:r>
      <w:r w:rsidR="00D4646A" w:rsidRPr="00F26EF7">
        <w:rPr>
          <w:sz w:val="24"/>
          <w:szCs w:val="24"/>
          <w:lang w:val="en-US"/>
        </w:rPr>
        <w:t xml:space="preserve">on the political factors motivating </w:t>
      </w:r>
      <w:r w:rsidR="00A97D4B" w:rsidRPr="00F26EF7">
        <w:rPr>
          <w:sz w:val="24"/>
          <w:szCs w:val="24"/>
          <w:lang w:val="en-US"/>
        </w:rPr>
        <w:t>anti-government mass mobilization</w:t>
      </w:r>
      <w:r w:rsidR="00D4646A" w:rsidRPr="00F26EF7">
        <w:rPr>
          <w:sz w:val="24"/>
          <w:szCs w:val="24"/>
          <w:lang w:val="en-US"/>
        </w:rPr>
        <w:t>, such as demand for political re</w:t>
      </w:r>
      <w:r w:rsidR="00D4646A" w:rsidRPr="00F26EF7">
        <w:rPr>
          <w:sz w:val="24"/>
          <w:szCs w:val="24"/>
          <w:lang w:val="en-US"/>
        </w:rPr>
        <w:lastRenderedPageBreak/>
        <w:t>form</w:t>
      </w:r>
      <w:r w:rsidR="00A97D4B">
        <w:rPr>
          <w:sz w:val="24"/>
          <w:szCs w:val="24"/>
          <w:lang w:val="en-US"/>
        </w:rPr>
        <w:t xml:space="preserve"> in autocracies, t</w:t>
      </w:r>
      <w:r w:rsidR="00D4646A" w:rsidRPr="00F26EF7">
        <w:rPr>
          <w:sz w:val="24"/>
          <w:szCs w:val="24"/>
          <w:lang w:val="en-US"/>
        </w:rPr>
        <w:t xml:space="preserve">here has been a relative neglect of </w:t>
      </w:r>
      <w:r w:rsidR="00A97D4B">
        <w:rPr>
          <w:sz w:val="24"/>
          <w:szCs w:val="24"/>
          <w:lang w:val="en-US"/>
        </w:rPr>
        <w:t xml:space="preserve">how </w:t>
      </w:r>
      <w:r w:rsidR="00D4646A" w:rsidRPr="00F26EF7">
        <w:rPr>
          <w:sz w:val="24"/>
          <w:szCs w:val="24"/>
          <w:lang w:val="en-US"/>
        </w:rPr>
        <w:t>political grievances may be influenced by economic grievances</w:t>
      </w:r>
      <w:r w:rsidR="00A97D4B">
        <w:rPr>
          <w:sz w:val="24"/>
          <w:szCs w:val="24"/>
          <w:lang w:val="en-US"/>
        </w:rPr>
        <w:t xml:space="preserve"> and crises</w:t>
      </w:r>
      <w:r w:rsidR="00D4646A" w:rsidRPr="00F26EF7">
        <w:rPr>
          <w:sz w:val="24"/>
          <w:szCs w:val="24"/>
          <w:lang w:val="en-US"/>
        </w:rPr>
        <w:t xml:space="preserve">. Although the Egyptian revolution </w:t>
      </w:r>
      <w:r w:rsidR="002D457E">
        <w:rPr>
          <w:sz w:val="24"/>
          <w:szCs w:val="24"/>
          <w:lang w:val="en-US"/>
        </w:rPr>
        <w:t>called</w:t>
      </w:r>
      <w:r w:rsidR="00D4646A" w:rsidRPr="00F26EF7">
        <w:rPr>
          <w:sz w:val="24"/>
          <w:szCs w:val="24"/>
          <w:lang w:val="en-US"/>
        </w:rPr>
        <w:t xml:space="preserve"> for </w:t>
      </w:r>
      <w:r w:rsidR="002D457E">
        <w:rPr>
          <w:sz w:val="24"/>
          <w:szCs w:val="24"/>
          <w:lang w:val="en-US"/>
        </w:rPr>
        <w:t>the ousting of President Mubarak</w:t>
      </w:r>
      <w:r w:rsidR="00BC3139" w:rsidRPr="00F26EF7">
        <w:rPr>
          <w:sz w:val="24"/>
          <w:szCs w:val="24"/>
          <w:lang w:val="en-US"/>
        </w:rPr>
        <w:t xml:space="preserve">, </w:t>
      </w:r>
      <w:r w:rsidR="00D4646A" w:rsidRPr="00F26EF7">
        <w:rPr>
          <w:sz w:val="24"/>
          <w:szCs w:val="24"/>
          <w:lang w:val="en-US"/>
        </w:rPr>
        <w:t xml:space="preserve">many observers see the underlying economic hardship as </w:t>
      </w:r>
      <w:r w:rsidR="002F640A">
        <w:rPr>
          <w:sz w:val="24"/>
          <w:szCs w:val="24"/>
          <w:lang w:val="en-US"/>
        </w:rPr>
        <w:t xml:space="preserve">one of the </w:t>
      </w:r>
      <w:r w:rsidR="00D4646A" w:rsidRPr="00F26EF7">
        <w:rPr>
          <w:sz w:val="24"/>
          <w:szCs w:val="24"/>
          <w:lang w:val="en-US"/>
        </w:rPr>
        <w:t>key factor</w:t>
      </w:r>
      <w:r w:rsidR="002F640A">
        <w:rPr>
          <w:sz w:val="24"/>
          <w:szCs w:val="24"/>
          <w:lang w:val="en-US"/>
        </w:rPr>
        <w:t>s</w:t>
      </w:r>
      <w:r w:rsidR="00D4646A" w:rsidRPr="00F26EF7">
        <w:rPr>
          <w:sz w:val="24"/>
          <w:szCs w:val="24"/>
          <w:lang w:val="en-US"/>
        </w:rPr>
        <w:t xml:space="preserve"> </w:t>
      </w:r>
      <w:r w:rsidR="002F640A">
        <w:rPr>
          <w:sz w:val="24"/>
          <w:szCs w:val="24"/>
          <w:lang w:val="en-US"/>
        </w:rPr>
        <w:t xml:space="preserve">that </w:t>
      </w:r>
      <w:r w:rsidR="00D4646A" w:rsidRPr="00F26EF7">
        <w:rPr>
          <w:sz w:val="24"/>
          <w:szCs w:val="24"/>
          <w:lang w:val="en-US"/>
        </w:rPr>
        <w:t>fuel</w:t>
      </w:r>
      <w:r w:rsidR="002F640A">
        <w:rPr>
          <w:sz w:val="24"/>
          <w:szCs w:val="24"/>
          <w:lang w:val="en-US"/>
        </w:rPr>
        <w:t xml:space="preserve">ed </w:t>
      </w:r>
      <w:r w:rsidR="00D4646A" w:rsidRPr="00F26EF7">
        <w:rPr>
          <w:sz w:val="24"/>
          <w:szCs w:val="24"/>
          <w:lang w:val="en-US"/>
        </w:rPr>
        <w:t xml:space="preserve">political discontent </w:t>
      </w:r>
      <w:r w:rsidR="00A0447E" w:rsidRPr="00F26EF7">
        <w:rPr>
          <w:sz w:val="24"/>
          <w:szCs w:val="24"/>
          <w:lang w:val="en-US"/>
        </w:rPr>
        <w:t xml:space="preserve">(e.g. </w:t>
      </w:r>
      <w:r w:rsidR="00E776BA" w:rsidRPr="00F26EF7">
        <w:rPr>
          <w:sz w:val="24"/>
          <w:szCs w:val="24"/>
          <w:lang w:val="en-US"/>
        </w:rPr>
        <w:t xml:space="preserve">Malik and Awadallah 2013). </w:t>
      </w:r>
    </w:p>
    <w:p w14:paraId="41C24403" w14:textId="34FD93D0" w:rsidR="00F405BC" w:rsidRPr="00F26EF7" w:rsidRDefault="005A0207">
      <w:pPr>
        <w:rPr>
          <w:lang w:val="en-US"/>
        </w:rPr>
      </w:pPr>
      <w:r>
        <w:rPr>
          <w:sz w:val="24"/>
          <w:szCs w:val="24"/>
          <w:lang w:val="en-US"/>
        </w:rPr>
        <w:t xml:space="preserve">Much </w:t>
      </w:r>
      <w:r w:rsidR="00E57CEA">
        <w:rPr>
          <w:sz w:val="24"/>
          <w:szCs w:val="24"/>
          <w:lang w:val="en-US"/>
        </w:rPr>
        <w:t xml:space="preserve">of the recent </w:t>
      </w:r>
      <w:r>
        <w:rPr>
          <w:sz w:val="24"/>
          <w:szCs w:val="24"/>
          <w:lang w:val="en-US"/>
        </w:rPr>
        <w:t xml:space="preserve">research on </w:t>
      </w:r>
      <w:r w:rsidR="00D4646A" w:rsidRPr="00F26EF7">
        <w:rPr>
          <w:sz w:val="24"/>
          <w:szCs w:val="24"/>
          <w:lang w:val="en-US"/>
        </w:rPr>
        <w:t xml:space="preserve">economic crises </w:t>
      </w:r>
      <w:r w:rsidR="005545EA" w:rsidRPr="00F26EF7">
        <w:rPr>
          <w:sz w:val="24"/>
          <w:szCs w:val="24"/>
          <w:lang w:val="en-US"/>
        </w:rPr>
        <w:t>and protest</w:t>
      </w:r>
      <w:r w:rsidR="00F81EF0" w:rsidRPr="00F26EF7">
        <w:rPr>
          <w:sz w:val="24"/>
          <w:szCs w:val="24"/>
          <w:lang w:val="en-US"/>
        </w:rPr>
        <w:t>s</w:t>
      </w:r>
      <w:r w:rsidR="00F26D87" w:rsidRPr="00F26EF7">
        <w:rPr>
          <w:sz w:val="24"/>
          <w:szCs w:val="24"/>
          <w:lang w:val="en-US"/>
        </w:rPr>
        <w:t xml:space="preserve"> has</w:t>
      </w:r>
      <w:r w:rsidR="005545EA" w:rsidRPr="00F26EF7">
        <w:rPr>
          <w:sz w:val="24"/>
          <w:szCs w:val="24"/>
          <w:lang w:val="en-US"/>
        </w:rPr>
        <w:t xml:space="preserve"> emphasized the role of </w:t>
      </w:r>
      <w:r w:rsidR="00D4646A" w:rsidRPr="00F26EF7">
        <w:rPr>
          <w:sz w:val="24"/>
          <w:szCs w:val="24"/>
          <w:lang w:val="en-US"/>
        </w:rPr>
        <w:t xml:space="preserve">structural adjustment programs </w:t>
      </w:r>
      <w:r w:rsidR="00E57CEA">
        <w:rPr>
          <w:sz w:val="24"/>
          <w:szCs w:val="24"/>
          <w:lang w:val="en-US"/>
        </w:rPr>
        <w:t xml:space="preserve">imposed </w:t>
      </w:r>
      <w:r w:rsidR="00D4646A" w:rsidRPr="00F26EF7">
        <w:rPr>
          <w:sz w:val="24"/>
          <w:szCs w:val="24"/>
          <w:lang w:val="en-US"/>
        </w:rPr>
        <w:t xml:space="preserve">by the </w:t>
      </w:r>
      <w:r w:rsidR="000E08FF" w:rsidRPr="00F26EF7">
        <w:rPr>
          <w:sz w:val="24"/>
          <w:szCs w:val="24"/>
          <w:lang w:val="en-US"/>
        </w:rPr>
        <w:t>IMF</w:t>
      </w:r>
      <w:r w:rsidR="00D4646A" w:rsidRPr="00F26EF7">
        <w:rPr>
          <w:sz w:val="24"/>
          <w:szCs w:val="24"/>
          <w:lang w:val="en-US"/>
        </w:rPr>
        <w:t xml:space="preserve">. In general, critics of </w:t>
      </w:r>
      <w:r w:rsidR="005545EA" w:rsidRPr="00F26EF7">
        <w:rPr>
          <w:sz w:val="24"/>
          <w:szCs w:val="24"/>
          <w:lang w:val="en-US"/>
        </w:rPr>
        <w:t xml:space="preserve">the IMF see </w:t>
      </w:r>
      <w:r w:rsidR="00D4646A" w:rsidRPr="00F26EF7">
        <w:rPr>
          <w:sz w:val="24"/>
          <w:szCs w:val="24"/>
          <w:lang w:val="en-US"/>
        </w:rPr>
        <w:t xml:space="preserve">government </w:t>
      </w:r>
      <w:r w:rsidR="00565864" w:rsidRPr="00F26EF7">
        <w:rPr>
          <w:sz w:val="24"/>
          <w:szCs w:val="24"/>
          <w:lang w:val="en-US"/>
        </w:rPr>
        <w:t>turn</w:t>
      </w:r>
      <w:r w:rsidR="00325522" w:rsidRPr="00F26EF7">
        <w:rPr>
          <w:sz w:val="24"/>
          <w:szCs w:val="24"/>
          <w:lang w:val="en-US"/>
        </w:rPr>
        <w:t>o</w:t>
      </w:r>
      <w:r w:rsidR="00565864" w:rsidRPr="00F26EF7">
        <w:rPr>
          <w:sz w:val="24"/>
          <w:szCs w:val="24"/>
          <w:lang w:val="en-US"/>
        </w:rPr>
        <w:t xml:space="preserve">vers and </w:t>
      </w:r>
      <w:r w:rsidR="00325522" w:rsidRPr="00F26EF7">
        <w:rPr>
          <w:sz w:val="24"/>
          <w:szCs w:val="24"/>
          <w:lang w:val="en-US"/>
        </w:rPr>
        <w:t xml:space="preserve">political </w:t>
      </w:r>
      <w:r w:rsidR="00565864" w:rsidRPr="00F26EF7">
        <w:rPr>
          <w:sz w:val="24"/>
          <w:szCs w:val="24"/>
          <w:lang w:val="en-US"/>
        </w:rPr>
        <w:t xml:space="preserve">instability </w:t>
      </w:r>
      <w:r w:rsidR="00D4646A" w:rsidRPr="00F26EF7">
        <w:rPr>
          <w:sz w:val="24"/>
          <w:szCs w:val="24"/>
          <w:lang w:val="en-US"/>
        </w:rPr>
        <w:t xml:space="preserve">in </w:t>
      </w:r>
      <w:r w:rsidR="00F22624" w:rsidRPr="00F26EF7">
        <w:rPr>
          <w:sz w:val="24"/>
          <w:szCs w:val="24"/>
          <w:lang w:val="en-US"/>
        </w:rPr>
        <w:t xml:space="preserve">countries such as </w:t>
      </w:r>
      <w:r w:rsidR="00D4646A" w:rsidRPr="00F26EF7">
        <w:rPr>
          <w:sz w:val="24"/>
          <w:szCs w:val="24"/>
          <w:lang w:val="en-US"/>
        </w:rPr>
        <w:t xml:space="preserve">Argentina </w:t>
      </w:r>
      <w:r w:rsidR="00565864" w:rsidRPr="00F26EF7">
        <w:rPr>
          <w:sz w:val="24"/>
          <w:szCs w:val="24"/>
          <w:lang w:val="en-US"/>
        </w:rPr>
        <w:t xml:space="preserve">as confirmation of the deep flaws </w:t>
      </w:r>
      <w:r w:rsidR="00A52159" w:rsidRPr="00F26EF7">
        <w:rPr>
          <w:sz w:val="24"/>
          <w:szCs w:val="24"/>
          <w:lang w:val="en-US"/>
        </w:rPr>
        <w:t xml:space="preserve">of </w:t>
      </w:r>
      <w:r w:rsidR="00E57CEA">
        <w:rPr>
          <w:sz w:val="24"/>
          <w:szCs w:val="24"/>
          <w:lang w:val="en-US"/>
        </w:rPr>
        <w:t>the “Washington Consensus”</w:t>
      </w:r>
      <w:r w:rsidR="00D4646A" w:rsidRPr="00F26EF7">
        <w:rPr>
          <w:sz w:val="24"/>
          <w:szCs w:val="24"/>
          <w:lang w:val="en-US"/>
        </w:rPr>
        <w:t xml:space="preserve"> </w:t>
      </w:r>
      <w:r w:rsidR="00325522" w:rsidRPr="00F26EF7">
        <w:rPr>
          <w:sz w:val="24"/>
          <w:szCs w:val="24"/>
          <w:lang w:val="en-US"/>
        </w:rPr>
        <w:t xml:space="preserve">and how this </w:t>
      </w:r>
      <w:r w:rsidR="00D4646A" w:rsidRPr="00F26EF7">
        <w:rPr>
          <w:sz w:val="24"/>
          <w:szCs w:val="24"/>
          <w:lang w:val="en-US"/>
        </w:rPr>
        <w:t>undermin</w:t>
      </w:r>
      <w:r w:rsidR="00325522" w:rsidRPr="00F26EF7">
        <w:rPr>
          <w:sz w:val="24"/>
          <w:szCs w:val="24"/>
          <w:lang w:val="en-US"/>
        </w:rPr>
        <w:t>es</w:t>
      </w:r>
      <w:r w:rsidR="00D4646A" w:rsidRPr="00F26EF7">
        <w:rPr>
          <w:sz w:val="24"/>
          <w:szCs w:val="24"/>
          <w:lang w:val="en-US"/>
        </w:rPr>
        <w:t xml:space="preserve"> the social </w:t>
      </w:r>
      <w:r w:rsidR="00325522" w:rsidRPr="00F26EF7">
        <w:rPr>
          <w:sz w:val="24"/>
          <w:szCs w:val="24"/>
          <w:lang w:val="en-US"/>
        </w:rPr>
        <w:t xml:space="preserve">order </w:t>
      </w:r>
      <w:r w:rsidR="00D4646A" w:rsidRPr="00F26EF7">
        <w:rPr>
          <w:sz w:val="24"/>
          <w:szCs w:val="24"/>
          <w:lang w:val="en-US"/>
        </w:rPr>
        <w:t>of fragile countries (e.g. Chua 2002, Stiglitz 2002).</w:t>
      </w:r>
      <w:r w:rsidR="00917519" w:rsidRPr="00F26EF7">
        <w:rPr>
          <w:lang w:val="en-US"/>
        </w:rPr>
        <w:t xml:space="preserve"> </w:t>
      </w:r>
      <w:r w:rsidR="00917519" w:rsidRPr="00F26EF7">
        <w:rPr>
          <w:sz w:val="24"/>
          <w:szCs w:val="24"/>
          <w:lang w:val="en-US"/>
        </w:rPr>
        <w:t>Journalist Naomi Klein (2007:</w:t>
      </w:r>
      <w:r w:rsidR="00F26D87" w:rsidRPr="00F26EF7">
        <w:rPr>
          <w:sz w:val="24"/>
          <w:szCs w:val="24"/>
          <w:lang w:val="en-US"/>
        </w:rPr>
        <w:t>343)</w:t>
      </w:r>
      <w:r w:rsidR="00917519" w:rsidRPr="00F26EF7">
        <w:rPr>
          <w:sz w:val="24"/>
          <w:szCs w:val="24"/>
          <w:lang w:val="en-US"/>
        </w:rPr>
        <w:t xml:space="preserve"> maintains that the Bretton Woods institution</w:t>
      </w:r>
      <w:r w:rsidR="00F26D87" w:rsidRPr="00F26EF7">
        <w:rPr>
          <w:sz w:val="24"/>
          <w:szCs w:val="24"/>
          <w:lang w:val="en-US"/>
        </w:rPr>
        <w:t>s</w:t>
      </w:r>
      <w:r w:rsidR="00917519" w:rsidRPr="00F26EF7">
        <w:rPr>
          <w:sz w:val="24"/>
          <w:szCs w:val="24"/>
          <w:lang w:val="en-US"/>
        </w:rPr>
        <w:t xml:space="preserve"> </w:t>
      </w:r>
      <w:r w:rsidR="00F26D87" w:rsidRPr="00F26EF7">
        <w:rPr>
          <w:sz w:val="24"/>
          <w:szCs w:val="24"/>
          <w:lang w:val="en-US"/>
        </w:rPr>
        <w:t>frequently take</w:t>
      </w:r>
      <w:r w:rsidR="00917519" w:rsidRPr="00F26EF7">
        <w:rPr>
          <w:sz w:val="24"/>
          <w:szCs w:val="24"/>
          <w:lang w:val="en-US"/>
        </w:rPr>
        <w:t xml:space="preserve"> part in shock therapies that turn </w:t>
      </w:r>
      <w:r w:rsidR="00F26D87" w:rsidRPr="00F26EF7">
        <w:rPr>
          <w:sz w:val="24"/>
          <w:szCs w:val="24"/>
          <w:lang w:val="en-US"/>
        </w:rPr>
        <w:t xml:space="preserve">a </w:t>
      </w:r>
      <w:r w:rsidR="00917519" w:rsidRPr="00F26EF7">
        <w:rPr>
          <w:sz w:val="24"/>
          <w:szCs w:val="24"/>
          <w:lang w:val="en-US"/>
        </w:rPr>
        <w:t>“crisis into catastrophe”.</w:t>
      </w:r>
      <w:r w:rsidR="00F26D87" w:rsidRPr="00F26EF7">
        <w:rPr>
          <w:sz w:val="24"/>
          <w:szCs w:val="24"/>
          <w:lang w:val="en-US"/>
        </w:rPr>
        <w:t xml:space="preserve"> </w:t>
      </w:r>
      <w:r w:rsidR="00D4646A" w:rsidRPr="00F26EF7">
        <w:rPr>
          <w:sz w:val="24"/>
          <w:szCs w:val="24"/>
          <w:lang w:val="en-US"/>
        </w:rPr>
        <w:t xml:space="preserve">Yet, </w:t>
      </w:r>
      <w:r w:rsidR="009A592A">
        <w:rPr>
          <w:sz w:val="24"/>
          <w:szCs w:val="24"/>
          <w:lang w:val="en-US"/>
        </w:rPr>
        <w:t xml:space="preserve">since </w:t>
      </w:r>
      <w:r w:rsidR="00D4646A" w:rsidRPr="00F26EF7">
        <w:rPr>
          <w:sz w:val="24"/>
          <w:szCs w:val="24"/>
          <w:lang w:val="en-US"/>
        </w:rPr>
        <w:t xml:space="preserve">IMF programs are often introduced after an economic shock, it is difficult to disentangle whether the crisis itself, or </w:t>
      </w:r>
      <w:r w:rsidR="00A52159" w:rsidRPr="00F26EF7">
        <w:rPr>
          <w:sz w:val="24"/>
          <w:szCs w:val="24"/>
          <w:lang w:val="en-US"/>
        </w:rPr>
        <w:t xml:space="preserve">rather </w:t>
      </w:r>
      <w:r w:rsidR="00D4646A" w:rsidRPr="00F26EF7">
        <w:rPr>
          <w:sz w:val="24"/>
          <w:szCs w:val="24"/>
          <w:lang w:val="en-US"/>
        </w:rPr>
        <w:t>the rescue package and austerity conditions, drive mass protests.</w:t>
      </w:r>
    </w:p>
    <w:p w14:paraId="54B80DD1" w14:textId="4E09C4A3" w:rsidR="00F405BC" w:rsidRPr="00F26EF7" w:rsidRDefault="00D4646A">
      <w:pPr>
        <w:rPr>
          <w:sz w:val="24"/>
          <w:szCs w:val="24"/>
          <w:lang w:val="en-US"/>
        </w:rPr>
      </w:pPr>
      <w:r w:rsidRPr="00F26EF7">
        <w:rPr>
          <w:sz w:val="24"/>
          <w:szCs w:val="24"/>
          <w:lang w:val="en-US"/>
        </w:rPr>
        <w:t xml:space="preserve">To </w:t>
      </w:r>
      <w:r w:rsidR="004020BD">
        <w:rPr>
          <w:sz w:val="24"/>
          <w:szCs w:val="24"/>
          <w:lang w:val="en-US"/>
        </w:rPr>
        <w:t xml:space="preserve">better </w:t>
      </w:r>
      <w:r w:rsidRPr="00F26EF7">
        <w:rPr>
          <w:sz w:val="24"/>
          <w:szCs w:val="24"/>
          <w:lang w:val="en-US"/>
        </w:rPr>
        <w:t xml:space="preserve">understand the linkage between crisis and social mobilization, we distinguish between a direct and an indirect causal path. The direct link follows the logic of the grievance </w:t>
      </w:r>
      <w:r w:rsidR="008E0946">
        <w:rPr>
          <w:sz w:val="24"/>
          <w:szCs w:val="24"/>
          <w:lang w:val="en-US"/>
        </w:rPr>
        <w:t>conjecture</w:t>
      </w:r>
      <w:r w:rsidR="004020BD">
        <w:rPr>
          <w:sz w:val="24"/>
          <w:szCs w:val="24"/>
          <w:lang w:val="en-US"/>
        </w:rPr>
        <w:t xml:space="preserve">, </w:t>
      </w:r>
      <w:r w:rsidR="00E2643A" w:rsidRPr="00F26EF7">
        <w:rPr>
          <w:sz w:val="24"/>
          <w:szCs w:val="24"/>
          <w:lang w:val="en-US"/>
        </w:rPr>
        <w:t xml:space="preserve">relating </w:t>
      </w:r>
      <w:r w:rsidRPr="00F26EF7">
        <w:rPr>
          <w:sz w:val="24"/>
          <w:szCs w:val="24"/>
          <w:lang w:val="en-US"/>
        </w:rPr>
        <w:t>economic shock</w:t>
      </w:r>
      <w:r w:rsidR="00E2643A" w:rsidRPr="00F26EF7">
        <w:rPr>
          <w:sz w:val="24"/>
          <w:szCs w:val="24"/>
          <w:lang w:val="en-US"/>
        </w:rPr>
        <w:t>s</w:t>
      </w:r>
      <w:r w:rsidRPr="00F26EF7">
        <w:rPr>
          <w:sz w:val="24"/>
          <w:szCs w:val="24"/>
          <w:lang w:val="en-US"/>
        </w:rPr>
        <w:t xml:space="preserve"> to subsequent protest. The indirect link </w:t>
      </w:r>
      <w:r w:rsidR="008A233F" w:rsidRPr="00F26EF7">
        <w:rPr>
          <w:sz w:val="24"/>
          <w:szCs w:val="24"/>
          <w:lang w:val="en-US"/>
        </w:rPr>
        <w:t xml:space="preserve">also </w:t>
      </w:r>
      <w:r w:rsidRPr="00F26EF7">
        <w:rPr>
          <w:sz w:val="24"/>
          <w:szCs w:val="24"/>
          <w:lang w:val="en-US"/>
        </w:rPr>
        <w:t xml:space="preserve">starts with </w:t>
      </w:r>
      <w:r w:rsidR="008A233F" w:rsidRPr="00F26EF7">
        <w:rPr>
          <w:sz w:val="24"/>
          <w:szCs w:val="24"/>
          <w:lang w:val="en-US"/>
        </w:rPr>
        <w:t xml:space="preserve">the </w:t>
      </w:r>
      <w:r w:rsidRPr="00F26EF7">
        <w:rPr>
          <w:sz w:val="24"/>
          <w:szCs w:val="24"/>
          <w:lang w:val="en-US"/>
        </w:rPr>
        <w:t xml:space="preserve">crisis, but </w:t>
      </w:r>
      <w:r w:rsidR="008119AC">
        <w:rPr>
          <w:sz w:val="24"/>
          <w:szCs w:val="24"/>
          <w:lang w:val="en-US"/>
        </w:rPr>
        <w:t xml:space="preserve">then </w:t>
      </w:r>
      <w:r w:rsidR="008A233F" w:rsidRPr="00F26EF7">
        <w:rPr>
          <w:sz w:val="24"/>
          <w:szCs w:val="24"/>
          <w:lang w:val="en-US"/>
        </w:rPr>
        <w:t xml:space="preserve">considers how </w:t>
      </w:r>
      <w:r w:rsidRPr="00F26EF7">
        <w:rPr>
          <w:sz w:val="24"/>
          <w:szCs w:val="24"/>
          <w:lang w:val="en-US"/>
        </w:rPr>
        <w:t xml:space="preserve">interventions by the governments or an international organization </w:t>
      </w:r>
      <w:r w:rsidR="008A233F" w:rsidRPr="00F26EF7">
        <w:rPr>
          <w:sz w:val="24"/>
          <w:szCs w:val="24"/>
          <w:lang w:val="en-US"/>
        </w:rPr>
        <w:t>can have a potential</w:t>
      </w:r>
      <w:r w:rsidRPr="00F26EF7">
        <w:rPr>
          <w:sz w:val="24"/>
          <w:szCs w:val="24"/>
          <w:lang w:val="en-US"/>
        </w:rPr>
        <w:t xml:space="preserve"> mediating influence</w:t>
      </w:r>
      <w:r w:rsidR="004020BD">
        <w:rPr>
          <w:sz w:val="24"/>
          <w:szCs w:val="24"/>
          <w:lang w:val="en-US"/>
        </w:rPr>
        <w:t xml:space="preserve"> and ameliorate the direct consequences</w:t>
      </w:r>
      <w:r w:rsidRPr="00F26EF7">
        <w:rPr>
          <w:sz w:val="24"/>
          <w:szCs w:val="24"/>
          <w:lang w:val="en-US"/>
        </w:rPr>
        <w:t xml:space="preserve">. </w:t>
      </w:r>
    </w:p>
    <w:p w14:paraId="4C8B11F9" w14:textId="77777777" w:rsidR="00F26D87" w:rsidRPr="00F26EF7" w:rsidRDefault="00F26D87">
      <w:pPr>
        <w:rPr>
          <w:i/>
          <w:sz w:val="24"/>
          <w:szCs w:val="24"/>
          <w:lang w:val="en-US"/>
        </w:rPr>
      </w:pPr>
    </w:p>
    <w:p w14:paraId="0D0097D0" w14:textId="77777777" w:rsidR="00F26D87" w:rsidRPr="00F26EF7" w:rsidRDefault="00F26D87">
      <w:pPr>
        <w:rPr>
          <w:i/>
          <w:sz w:val="24"/>
          <w:szCs w:val="24"/>
          <w:lang w:val="en-US"/>
        </w:rPr>
      </w:pPr>
      <w:r w:rsidRPr="00F26EF7">
        <w:rPr>
          <w:i/>
          <w:sz w:val="24"/>
          <w:szCs w:val="24"/>
          <w:lang w:val="en-US"/>
        </w:rPr>
        <w:t>The direct link</w:t>
      </w:r>
    </w:p>
    <w:p w14:paraId="33F6E5E4" w14:textId="5A950372" w:rsidR="00F405BC" w:rsidRPr="00F26EF7" w:rsidRDefault="00D4646A">
      <w:pPr>
        <w:rPr>
          <w:sz w:val="24"/>
          <w:szCs w:val="24"/>
          <w:lang w:val="en-US"/>
        </w:rPr>
      </w:pPr>
      <w:r w:rsidRPr="00F26EF7">
        <w:rPr>
          <w:sz w:val="24"/>
          <w:szCs w:val="24"/>
          <w:lang w:val="en-US"/>
        </w:rPr>
        <w:t xml:space="preserve">Crises decrease satisfaction with incumbent politicians and may motivate collective action through a number of avenues. </w:t>
      </w:r>
      <w:r w:rsidR="009101C4" w:rsidRPr="00F26EF7">
        <w:rPr>
          <w:sz w:val="24"/>
          <w:szCs w:val="24"/>
          <w:lang w:val="en-US"/>
        </w:rPr>
        <w:t>S</w:t>
      </w:r>
      <w:r w:rsidRPr="00F26EF7">
        <w:rPr>
          <w:sz w:val="24"/>
          <w:szCs w:val="24"/>
          <w:lang w:val="en-US"/>
        </w:rPr>
        <w:t xml:space="preserve">tandard theories of economic voting </w:t>
      </w:r>
      <w:r w:rsidR="005D3E4B" w:rsidRPr="00F26EF7">
        <w:rPr>
          <w:sz w:val="24"/>
          <w:szCs w:val="24"/>
          <w:lang w:val="en-US"/>
        </w:rPr>
        <w:t xml:space="preserve">posit that </w:t>
      </w:r>
      <w:r w:rsidRPr="00F26EF7">
        <w:rPr>
          <w:sz w:val="24"/>
          <w:szCs w:val="24"/>
          <w:lang w:val="en-US"/>
        </w:rPr>
        <w:t>people are more likely to oppose incumbents or withdraw support when economic performance is poor (e.g., Fiorina 197</w:t>
      </w:r>
      <w:r w:rsidR="00DD1A40">
        <w:rPr>
          <w:sz w:val="24"/>
          <w:szCs w:val="24"/>
          <w:lang w:val="en-US"/>
        </w:rPr>
        <w:t xml:space="preserve">8; Hibbing 1987; Stokes 1996). </w:t>
      </w:r>
      <w:r w:rsidR="004B4DC4">
        <w:rPr>
          <w:sz w:val="24"/>
          <w:szCs w:val="24"/>
          <w:lang w:val="en-US"/>
        </w:rPr>
        <w:t>Outside voting in elections, p</w:t>
      </w:r>
      <w:r w:rsidR="00A80317">
        <w:rPr>
          <w:sz w:val="24"/>
          <w:szCs w:val="24"/>
          <w:lang w:val="en-US"/>
        </w:rPr>
        <w:t xml:space="preserve">eople may respond to poor performance and </w:t>
      </w:r>
      <w:r w:rsidR="00DD1A40">
        <w:rPr>
          <w:sz w:val="24"/>
          <w:szCs w:val="24"/>
          <w:lang w:val="en-US"/>
        </w:rPr>
        <w:t xml:space="preserve">a </w:t>
      </w:r>
      <w:r w:rsidRPr="00F26EF7">
        <w:rPr>
          <w:sz w:val="24"/>
          <w:szCs w:val="24"/>
          <w:lang w:val="en-US"/>
        </w:rPr>
        <w:t>government perceived to be unresponsive</w:t>
      </w:r>
      <w:r w:rsidR="00A80317">
        <w:rPr>
          <w:sz w:val="24"/>
          <w:szCs w:val="24"/>
          <w:lang w:val="en-US"/>
        </w:rPr>
        <w:t xml:space="preserve"> </w:t>
      </w:r>
      <w:r w:rsidR="008E0946">
        <w:rPr>
          <w:sz w:val="24"/>
          <w:szCs w:val="24"/>
          <w:lang w:val="en-US"/>
        </w:rPr>
        <w:t xml:space="preserve">using </w:t>
      </w:r>
      <w:r w:rsidRPr="00F26EF7">
        <w:rPr>
          <w:sz w:val="24"/>
          <w:szCs w:val="24"/>
          <w:lang w:val="en-US"/>
        </w:rPr>
        <w:t>direct action to demonstrate discon</w:t>
      </w:r>
      <w:r w:rsidR="000879CA">
        <w:rPr>
          <w:sz w:val="24"/>
          <w:szCs w:val="24"/>
          <w:lang w:val="en-US"/>
        </w:rPr>
        <w:t xml:space="preserve">tent </w:t>
      </w:r>
      <w:r w:rsidRPr="00F26EF7">
        <w:rPr>
          <w:sz w:val="24"/>
          <w:szCs w:val="24"/>
          <w:lang w:val="en-US"/>
        </w:rPr>
        <w:t xml:space="preserve">or </w:t>
      </w:r>
      <w:r w:rsidR="000879CA">
        <w:rPr>
          <w:sz w:val="24"/>
          <w:szCs w:val="24"/>
          <w:lang w:val="en-US"/>
        </w:rPr>
        <w:t xml:space="preserve">to </w:t>
      </w:r>
      <w:r w:rsidRPr="00F26EF7">
        <w:rPr>
          <w:sz w:val="24"/>
          <w:szCs w:val="24"/>
          <w:lang w:val="en-US"/>
        </w:rPr>
        <w:t xml:space="preserve">undermine the government </w:t>
      </w:r>
      <w:r w:rsidR="00DD1A40">
        <w:rPr>
          <w:sz w:val="24"/>
          <w:szCs w:val="24"/>
          <w:lang w:val="en-US"/>
        </w:rPr>
        <w:t>and its ability to govern</w:t>
      </w:r>
      <w:r w:rsidRPr="00F26EF7">
        <w:rPr>
          <w:sz w:val="24"/>
          <w:szCs w:val="24"/>
          <w:lang w:val="en-US"/>
        </w:rPr>
        <w:t xml:space="preserve">.  </w:t>
      </w:r>
    </w:p>
    <w:p w14:paraId="2BBD8679" w14:textId="54BCC584" w:rsidR="00F405BC" w:rsidRPr="00F26EF7" w:rsidRDefault="009101C4">
      <w:pPr>
        <w:rPr>
          <w:lang w:val="en-US"/>
        </w:rPr>
      </w:pPr>
      <w:r w:rsidRPr="00F26EF7">
        <w:rPr>
          <w:sz w:val="24"/>
          <w:szCs w:val="24"/>
          <w:lang w:val="en-US"/>
        </w:rPr>
        <w:t>M</w:t>
      </w:r>
      <w:r w:rsidR="00D4646A" w:rsidRPr="00F26EF7">
        <w:rPr>
          <w:sz w:val="24"/>
          <w:szCs w:val="24"/>
          <w:lang w:val="en-US"/>
        </w:rPr>
        <w:t xml:space="preserve">uch of the older literature related the mobilizing potential of economic crises to the psychological implications of worsening economic conditions. </w:t>
      </w:r>
      <w:r w:rsidR="001B367C" w:rsidRPr="00F26EF7">
        <w:rPr>
          <w:sz w:val="24"/>
          <w:szCs w:val="24"/>
          <w:lang w:val="en-US"/>
        </w:rPr>
        <w:t>I</w:t>
      </w:r>
      <w:r w:rsidR="00D4646A" w:rsidRPr="00F26EF7">
        <w:rPr>
          <w:sz w:val="24"/>
          <w:szCs w:val="24"/>
          <w:lang w:val="en-US"/>
        </w:rPr>
        <w:t xml:space="preserve">ndividuals may remain acquiescent as long as the economy grows and they </w:t>
      </w:r>
      <w:r w:rsidR="00F82B86">
        <w:rPr>
          <w:sz w:val="24"/>
          <w:szCs w:val="24"/>
          <w:lang w:val="en-US"/>
        </w:rPr>
        <w:t>can aspire</w:t>
      </w:r>
      <w:r w:rsidR="00D4646A" w:rsidRPr="00F26EF7">
        <w:rPr>
          <w:sz w:val="24"/>
          <w:szCs w:val="24"/>
          <w:lang w:val="en-US"/>
        </w:rPr>
        <w:t xml:space="preserve"> </w:t>
      </w:r>
      <w:r w:rsidR="00F82B86">
        <w:rPr>
          <w:sz w:val="24"/>
          <w:szCs w:val="24"/>
          <w:lang w:val="en-US"/>
        </w:rPr>
        <w:t xml:space="preserve">to a better </w:t>
      </w:r>
      <w:r w:rsidR="00D4646A" w:rsidRPr="00F26EF7">
        <w:rPr>
          <w:sz w:val="24"/>
          <w:szCs w:val="24"/>
          <w:lang w:val="en-US"/>
        </w:rPr>
        <w:t xml:space="preserve">future, </w:t>
      </w:r>
      <w:r w:rsidR="00DC30F8" w:rsidRPr="00F26EF7">
        <w:rPr>
          <w:sz w:val="24"/>
          <w:szCs w:val="24"/>
          <w:lang w:val="en-US"/>
        </w:rPr>
        <w:t xml:space="preserve">but </w:t>
      </w:r>
      <w:r w:rsidR="00D4646A" w:rsidRPr="00F26EF7">
        <w:rPr>
          <w:sz w:val="24"/>
          <w:szCs w:val="24"/>
          <w:lang w:val="en-US"/>
        </w:rPr>
        <w:t xml:space="preserve">a decline in economic </w:t>
      </w:r>
      <w:r w:rsidR="00D4646A" w:rsidRPr="00F26EF7">
        <w:rPr>
          <w:sz w:val="24"/>
          <w:szCs w:val="24"/>
          <w:lang w:val="en-US"/>
        </w:rPr>
        <w:lastRenderedPageBreak/>
        <w:t xml:space="preserve">fortunes </w:t>
      </w:r>
      <w:r w:rsidR="00AD0F54" w:rsidRPr="00F26EF7">
        <w:rPr>
          <w:sz w:val="24"/>
          <w:szCs w:val="24"/>
          <w:lang w:val="en-US"/>
        </w:rPr>
        <w:t>is</w:t>
      </w:r>
      <w:r w:rsidR="00D4646A" w:rsidRPr="00F26EF7">
        <w:rPr>
          <w:sz w:val="24"/>
          <w:szCs w:val="24"/>
          <w:lang w:val="en-US"/>
        </w:rPr>
        <w:t xml:space="preserve"> likely to generate disillusionment and frustration that may lead to rebellion or rioting (e.g., Davies 1962; Gurr 1970). Dorsch et al. (2015) argue that economic shocks increase the likelihood of anti-regime protest </w:t>
      </w:r>
      <w:r w:rsidR="00F206DF">
        <w:rPr>
          <w:sz w:val="24"/>
          <w:szCs w:val="24"/>
          <w:lang w:val="en-US"/>
        </w:rPr>
        <w:t xml:space="preserve">because </w:t>
      </w:r>
      <w:r w:rsidR="00D4646A" w:rsidRPr="00F26EF7">
        <w:rPr>
          <w:sz w:val="24"/>
          <w:szCs w:val="24"/>
          <w:lang w:val="en-US"/>
        </w:rPr>
        <w:t xml:space="preserve">the population blames </w:t>
      </w:r>
      <w:r w:rsidR="00F647A2">
        <w:rPr>
          <w:sz w:val="24"/>
          <w:szCs w:val="24"/>
          <w:lang w:val="en-US"/>
        </w:rPr>
        <w:t xml:space="preserve">the </w:t>
      </w:r>
      <w:r w:rsidR="00D4646A" w:rsidRPr="00F26EF7">
        <w:rPr>
          <w:sz w:val="24"/>
          <w:szCs w:val="24"/>
          <w:lang w:val="en-US"/>
        </w:rPr>
        <w:t xml:space="preserve">elites, and </w:t>
      </w:r>
      <w:r w:rsidR="005D3E4B" w:rsidRPr="00F26EF7">
        <w:rPr>
          <w:sz w:val="24"/>
          <w:szCs w:val="24"/>
          <w:lang w:val="en-US"/>
        </w:rPr>
        <w:t xml:space="preserve">they present empirical </w:t>
      </w:r>
      <w:r w:rsidR="00D4646A" w:rsidRPr="00F26EF7">
        <w:rPr>
          <w:sz w:val="24"/>
          <w:szCs w:val="24"/>
          <w:lang w:val="en-US"/>
        </w:rPr>
        <w:t>results consistent with their expectations.</w:t>
      </w:r>
      <w:r w:rsidR="00597011" w:rsidRPr="00F26EF7">
        <w:rPr>
          <w:sz w:val="24"/>
          <w:szCs w:val="24"/>
          <w:lang w:val="en-US"/>
        </w:rPr>
        <w:t xml:space="preserve"> </w:t>
      </w:r>
      <w:r w:rsidR="00D4646A" w:rsidRPr="00F26EF7">
        <w:rPr>
          <w:sz w:val="24"/>
          <w:szCs w:val="24"/>
          <w:lang w:val="en-US"/>
        </w:rPr>
        <w:t xml:space="preserve">Economic crises </w:t>
      </w:r>
      <w:r w:rsidR="005F4B59" w:rsidRPr="00F26EF7">
        <w:rPr>
          <w:sz w:val="24"/>
          <w:szCs w:val="24"/>
          <w:lang w:val="en-US"/>
        </w:rPr>
        <w:t xml:space="preserve">can </w:t>
      </w:r>
      <w:r w:rsidR="004C608E" w:rsidRPr="00F26EF7">
        <w:rPr>
          <w:sz w:val="24"/>
          <w:szCs w:val="24"/>
          <w:lang w:val="en-US"/>
        </w:rPr>
        <w:t xml:space="preserve">also </w:t>
      </w:r>
      <w:r w:rsidR="00597011" w:rsidRPr="00F26EF7">
        <w:rPr>
          <w:sz w:val="24"/>
          <w:szCs w:val="24"/>
          <w:lang w:val="en-US"/>
        </w:rPr>
        <w:t xml:space="preserve">help </w:t>
      </w:r>
      <w:r w:rsidR="00D4646A" w:rsidRPr="00F26EF7">
        <w:rPr>
          <w:sz w:val="24"/>
          <w:szCs w:val="24"/>
          <w:lang w:val="en-US"/>
        </w:rPr>
        <w:t>lower the opport</w:t>
      </w:r>
      <w:r w:rsidR="005F4B59" w:rsidRPr="00F26EF7">
        <w:rPr>
          <w:sz w:val="24"/>
          <w:szCs w:val="24"/>
          <w:lang w:val="en-US"/>
        </w:rPr>
        <w:t>unity costs of political action</w:t>
      </w:r>
      <w:r w:rsidR="00DD1A40">
        <w:rPr>
          <w:sz w:val="24"/>
          <w:szCs w:val="24"/>
          <w:lang w:val="en-US"/>
        </w:rPr>
        <w:t xml:space="preserve"> through decreasing</w:t>
      </w:r>
      <w:r w:rsidR="00D4646A" w:rsidRPr="00F26EF7">
        <w:rPr>
          <w:sz w:val="24"/>
          <w:szCs w:val="24"/>
          <w:lang w:val="en-US"/>
        </w:rPr>
        <w:t xml:space="preserve"> the </w:t>
      </w:r>
      <w:r w:rsidR="00D81D59" w:rsidRPr="00F26EF7">
        <w:rPr>
          <w:sz w:val="24"/>
          <w:szCs w:val="24"/>
          <w:lang w:val="en-US"/>
        </w:rPr>
        <w:t xml:space="preserve">forgone benefits from </w:t>
      </w:r>
      <w:r w:rsidR="00D4646A" w:rsidRPr="00F26EF7">
        <w:rPr>
          <w:sz w:val="24"/>
          <w:szCs w:val="24"/>
          <w:lang w:val="en-US"/>
        </w:rPr>
        <w:t xml:space="preserve">participation in the formal economy </w:t>
      </w:r>
      <w:r w:rsidR="00D81D59" w:rsidRPr="00F26EF7">
        <w:rPr>
          <w:sz w:val="24"/>
          <w:szCs w:val="24"/>
          <w:lang w:val="en-US"/>
        </w:rPr>
        <w:t xml:space="preserve">(see Collier and Hoeffler 2004, Miguel et al. 2004, </w:t>
      </w:r>
      <w:r w:rsidR="00D4646A" w:rsidRPr="00F26EF7">
        <w:rPr>
          <w:sz w:val="24"/>
          <w:szCs w:val="24"/>
          <w:lang w:val="en-US"/>
        </w:rPr>
        <w:t xml:space="preserve">as well as Schneider 2014 for a critical discussion). </w:t>
      </w:r>
      <w:r w:rsidR="00597011" w:rsidRPr="00F26EF7">
        <w:rPr>
          <w:sz w:val="24"/>
          <w:szCs w:val="24"/>
          <w:lang w:val="en-US"/>
        </w:rPr>
        <w:t xml:space="preserve">Finally, </w:t>
      </w:r>
      <w:r w:rsidR="000620C8">
        <w:rPr>
          <w:sz w:val="24"/>
          <w:szCs w:val="24"/>
          <w:lang w:val="en-US"/>
        </w:rPr>
        <w:t xml:space="preserve">specific </w:t>
      </w:r>
      <w:r w:rsidR="00597011" w:rsidRPr="00F26EF7">
        <w:rPr>
          <w:sz w:val="24"/>
          <w:szCs w:val="24"/>
          <w:lang w:val="en-US"/>
        </w:rPr>
        <w:t xml:space="preserve">government </w:t>
      </w:r>
      <w:r w:rsidR="00D81D59" w:rsidRPr="00F26EF7">
        <w:rPr>
          <w:sz w:val="24"/>
          <w:szCs w:val="24"/>
          <w:lang w:val="en-US"/>
        </w:rPr>
        <w:t>response</w:t>
      </w:r>
      <w:r w:rsidR="00597011" w:rsidRPr="00F26EF7">
        <w:rPr>
          <w:sz w:val="24"/>
          <w:szCs w:val="24"/>
          <w:lang w:val="en-US"/>
        </w:rPr>
        <w:t>s</w:t>
      </w:r>
      <w:r w:rsidR="00D81D59" w:rsidRPr="00F26EF7">
        <w:rPr>
          <w:sz w:val="24"/>
          <w:szCs w:val="24"/>
          <w:lang w:val="en-US"/>
        </w:rPr>
        <w:t xml:space="preserve"> to crises </w:t>
      </w:r>
      <w:r w:rsidR="00D4646A" w:rsidRPr="00F26EF7">
        <w:rPr>
          <w:sz w:val="24"/>
          <w:szCs w:val="24"/>
          <w:lang w:val="en-US"/>
        </w:rPr>
        <w:t xml:space="preserve">may create </w:t>
      </w:r>
      <w:r w:rsidR="00301085">
        <w:rPr>
          <w:sz w:val="24"/>
          <w:szCs w:val="24"/>
          <w:lang w:val="en-US"/>
        </w:rPr>
        <w:t xml:space="preserve">important </w:t>
      </w:r>
      <w:r w:rsidR="00D4646A" w:rsidRPr="00F26EF7">
        <w:rPr>
          <w:sz w:val="24"/>
          <w:szCs w:val="24"/>
          <w:lang w:val="en-US"/>
        </w:rPr>
        <w:t>focal points that allow for mobilization</w:t>
      </w:r>
      <w:r w:rsidR="004C608E" w:rsidRPr="00F26EF7">
        <w:rPr>
          <w:sz w:val="24"/>
          <w:szCs w:val="24"/>
          <w:lang w:val="en-US"/>
        </w:rPr>
        <w:t xml:space="preserve">, such as strikes or demonstrations </w:t>
      </w:r>
      <w:r w:rsidR="00301085">
        <w:rPr>
          <w:sz w:val="24"/>
          <w:szCs w:val="24"/>
          <w:lang w:val="en-US"/>
        </w:rPr>
        <w:t xml:space="preserve">called </w:t>
      </w:r>
      <w:r w:rsidR="004C608E" w:rsidRPr="00F26EF7">
        <w:rPr>
          <w:sz w:val="24"/>
          <w:szCs w:val="24"/>
          <w:lang w:val="en-US"/>
        </w:rPr>
        <w:t xml:space="preserve">in response to </w:t>
      </w:r>
      <w:r w:rsidR="00301085">
        <w:rPr>
          <w:sz w:val="24"/>
          <w:szCs w:val="24"/>
          <w:lang w:val="en-US"/>
        </w:rPr>
        <w:t xml:space="preserve">specific </w:t>
      </w:r>
      <w:r w:rsidR="00D4646A" w:rsidRPr="00F26EF7">
        <w:rPr>
          <w:sz w:val="24"/>
          <w:szCs w:val="24"/>
          <w:lang w:val="en-US"/>
        </w:rPr>
        <w:t xml:space="preserve">crises measures </w:t>
      </w:r>
      <w:r w:rsidR="004C608E" w:rsidRPr="00F26EF7">
        <w:rPr>
          <w:sz w:val="24"/>
          <w:szCs w:val="24"/>
          <w:lang w:val="en-US"/>
        </w:rPr>
        <w:t xml:space="preserve">or </w:t>
      </w:r>
      <w:r w:rsidR="000620C8">
        <w:rPr>
          <w:sz w:val="24"/>
          <w:szCs w:val="24"/>
          <w:lang w:val="en-US"/>
        </w:rPr>
        <w:t xml:space="preserve">following </w:t>
      </w:r>
      <w:r w:rsidR="008F1EFC">
        <w:rPr>
          <w:sz w:val="24"/>
          <w:szCs w:val="24"/>
          <w:lang w:val="en-US"/>
        </w:rPr>
        <w:t xml:space="preserve">unpopular </w:t>
      </w:r>
      <w:r w:rsidR="004C608E" w:rsidRPr="00F26EF7">
        <w:rPr>
          <w:sz w:val="24"/>
          <w:szCs w:val="24"/>
          <w:lang w:val="en-US"/>
        </w:rPr>
        <w:t>policy announcements.</w:t>
      </w:r>
      <w:r w:rsidR="00D4646A" w:rsidRPr="00F26EF7">
        <w:rPr>
          <w:sz w:val="24"/>
          <w:szCs w:val="24"/>
          <w:lang w:val="en-US"/>
        </w:rPr>
        <w:t xml:space="preserve"> </w:t>
      </w:r>
    </w:p>
    <w:p w14:paraId="20DC8D40" w14:textId="17DAEA14" w:rsidR="00F405BC" w:rsidRPr="00F26EF7" w:rsidRDefault="004C608E">
      <w:pPr>
        <w:rPr>
          <w:sz w:val="24"/>
          <w:szCs w:val="24"/>
          <w:lang w:val="en-US"/>
        </w:rPr>
      </w:pPr>
      <w:r w:rsidRPr="00F26EF7">
        <w:rPr>
          <w:sz w:val="24"/>
          <w:szCs w:val="24"/>
          <w:lang w:val="en-US"/>
        </w:rPr>
        <w:t xml:space="preserve">Much of the existing literature has focused on </w:t>
      </w:r>
      <w:r w:rsidR="006F6B96">
        <w:rPr>
          <w:sz w:val="24"/>
          <w:szCs w:val="24"/>
          <w:lang w:val="en-US"/>
        </w:rPr>
        <w:t xml:space="preserve">how </w:t>
      </w:r>
      <w:r w:rsidRPr="00F26EF7">
        <w:rPr>
          <w:sz w:val="24"/>
          <w:szCs w:val="24"/>
          <w:lang w:val="en-US"/>
        </w:rPr>
        <w:t xml:space="preserve">dissent </w:t>
      </w:r>
      <w:r w:rsidR="006F6B96">
        <w:rPr>
          <w:sz w:val="24"/>
          <w:szCs w:val="24"/>
          <w:lang w:val="en-US"/>
        </w:rPr>
        <w:t xml:space="preserve">emerges in </w:t>
      </w:r>
      <w:r w:rsidRPr="00F26EF7">
        <w:rPr>
          <w:sz w:val="24"/>
          <w:szCs w:val="24"/>
          <w:lang w:val="en-US"/>
        </w:rPr>
        <w:t xml:space="preserve">response to </w:t>
      </w:r>
      <w:r w:rsidR="002F640A">
        <w:rPr>
          <w:sz w:val="24"/>
          <w:szCs w:val="24"/>
          <w:lang w:val="en-US"/>
        </w:rPr>
        <w:t xml:space="preserve">adverse </w:t>
      </w:r>
      <w:r w:rsidR="00D678EC" w:rsidRPr="00F26EF7">
        <w:rPr>
          <w:sz w:val="24"/>
          <w:szCs w:val="24"/>
          <w:lang w:val="en-US"/>
        </w:rPr>
        <w:t>circumstances</w:t>
      </w:r>
      <w:r w:rsidR="00D4646A" w:rsidRPr="00F26EF7">
        <w:rPr>
          <w:sz w:val="24"/>
          <w:szCs w:val="24"/>
          <w:lang w:val="en-US"/>
        </w:rPr>
        <w:t xml:space="preserve">, </w:t>
      </w:r>
      <w:r w:rsidR="006F6B96">
        <w:rPr>
          <w:sz w:val="24"/>
          <w:szCs w:val="24"/>
          <w:lang w:val="en-US"/>
        </w:rPr>
        <w:t xml:space="preserve">but not </w:t>
      </w:r>
      <w:r w:rsidR="008E0946">
        <w:rPr>
          <w:sz w:val="24"/>
          <w:szCs w:val="24"/>
          <w:lang w:val="en-US"/>
        </w:rPr>
        <w:t xml:space="preserve">paid </w:t>
      </w:r>
      <w:r w:rsidR="002F640A">
        <w:rPr>
          <w:sz w:val="24"/>
          <w:szCs w:val="24"/>
          <w:lang w:val="en-US"/>
        </w:rPr>
        <w:t xml:space="preserve">much </w:t>
      </w:r>
      <w:r w:rsidR="008E0946">
        <w:rPr>
          <w:sz w:val="24"/>
          <w:szCs w:val="24"/>
          <w:lang w:val="en-US"/>
        </w:rPr>
        <w:t>attention to the different</w:t>
      </w:r>
      <w:r w:rsidR="006E5B83">
        <w:rPr>
          <w:sz w:val="24"/>
          <w:szCs w:val="24"/>
          <w:lang w:val="en-US"/>
        </w:rPr>
        <w:t xml:space="preserve"> type</w:t>
      </w:r>
      <w:r w:rsidR="008E0946">
        <w:rPr>
          <w:sz w:val="24"/>
          <w:szCs w:val="24"/>
          <w:lang w:val="en-US"/>
        </w:rPr>
        <w:t>s</w:t>
      </w:r>
      <w:r w:rsidR="006E5B83">
        <w:rPr>
          <w:sz w:val="24"/>
          <w:szCs w:val="24"/>
          <w:lang w:val="en-US"/>
        </w:rPr>
        <w:t xml:space="preserve"> of dissent that may be </w:t>
      </w:r>
      <w:r w:rsidR="00D678EC" w:rsidRPr="00F26EF7">
        <w:rPr>
          <w:sz w:val="24"/>
          <w:szCs w:val="24"/>
          <w:lang w:val="en-US"/>
        </w:rPr>
        <w:t>used</w:t>
      </w:r>
      <w:r w:rsidR="00D4646A" w:rsidRPr="00F26EF7">
        <w:rPr>
          <w:sz w:val="24"/>
          <w:szCs w:val="24"/>
          <w:lang w:val="en-US"/>
        </w:rPr>
        <w:t xml:space="preserve">. </w:t>
      </w:r>
      <w:r w:rsidRPr="00F26EF7">
        <w:rPr>
          <w:sz w:val="24"/>
          <w:szCs w:val="24"/>
          <w:lang w:val="en-US"/>
        </w:rPr>
        <w:t>T</w:t>
      </w:r>
      <w:r w:rsidR="00D4646A" w:rsidRPr="00F26EF7">
        <w:rPr>
          <w:sz w:val="24"/>
          <w:szCs w:val="24"/>
          <w:lang w:val="en-US"/>
        </w:rPr>
        <w:t xml:space="preserve">here has been more attention </w:t>
      </w:r>
      <w:r w:rsidR="006E5B83">
        <w:rPr>
          <w:sz w:val="24"/>
          <w:szCs w:val="24"/>
          <w:lang w:val="en-US"/>
        </w:rPr>
        <w:t xml:space="preserve">to </w:t>
      </w:r>
      <w:r w:rsidR="00D4646A" w:rsidRPr="00F26EF7">
        <w:rPr>
          <w:sz w:val="24"/>
          <w:szCs w:val="24"/>
          <w:lang w:val="en-US"/>
        </w:rPr>
        <w:t xml:space="preserve">effects of </w:t>
      </w:r>
      <w:r w:rsidR="00597011" w:rsidRPr="00F26EF7">
        <w:rPr>
          <w:sz w:val="24"/>
          <w:szCs w:val="24"/>
          <w:lang w:val="en-US"/>
        </w:rPr>
        <w:t xml:space="preserve">economic </w:t>
      </w:r>
      <w:r w:rsidR="00D4646A" w:rsidRPr="00F26EF7">
        <w:rPr>
          <w:sz w:val="24"/>
          <w:szCs w:val="24"/>
          <w:lang w:val="en-US"/>
        </w:rPr>
        <w:t xml:space="preserve">crises on </w:t>
      </w:r>
      <w:r w:rsidR="006E5B83">
        <w:rPr>
          <w:sz w:val="24"/>
          <w:szCs w:val="24"/>
          <w:lang w:val="en-US"/>
        </w:rPr>
        <w:t xml:space="preserve">political </w:t>
      </w:r>
      <w:r w:rsidR="00D4646A" w:rsidRPr="00F26EF7">
        <w:rPr>
          <w:sz w:val="24"/>
          <w:szCs w:val="24"/>
          <w:lang w:val="en-US"/>
        </w:rPr>
        <w:t xml:space="preserve">violence than </w:t>
      </w:r>
      <w:r w:rsidR="005D3E4B" w:rsidRPr="00F26EF7">
        <w:rPr>
          <w:sz w:val="24"/>
          <w:szCs w:val="24"/>
          <w:lang w:val="en-US"/>
        </w:rPr>
        <w:t>non</w:t>
      </w:r>
      <w:r w:rsidR="00D4646A" w:rsidRPr="00F26EF7">
        <w:rPr>
          <w:sz w:val="24"/>
          <w:szCs w:val="24"/>
          <w:lang w:val="en-US"/>
        </w:rPr>
        <w:t>violent protest</w:t>
      </w:r>
      <w:r w:rsidR="00345737" w:rsidRPr="00F26EF7">
        <w:rPr>
          <w:sz w:val="24"/>
          <w:szCs w:val="24"/>
          <w:lang w:val="en-US"/>
        </w:rPr>
        <w:t xml:space="preserve">, </w:t>
      </w:r>
      <w:r w:rsidR="00597011" w:rsidRPr="00F26EF7">
        <w:rPr>
          <w:sz w:val="24"/>
          <w:szCs w:val="24"/>
          <w:lang w:val="en-US"/>
        </w:rPr>
        <w:t>even t</w:t>
      </w:r>
      <w:r w:rsidR="0056148F" w:rsidRPr="00F26EF7">
        <w:rPr>
          <w:sz w:val="24"/>
          <w:szCs w:val="24"/>
          <w:lang w:val="en-US"/>
        </w:rPr>
        <w:t xml:space="preserve">hough many of the most prominent cases of anti-regime mobilization </w:t>
      </w:r>
      <w:r w:rsidR="00E076FB">
        <w:rPr>
          <w:sz w:val="24"/>
          <w:szCs w:val="24"/>
          <w:lang w:val="en-US"/>
        </w:rPr>
        <w:t xml:space="preserve">are </w:t>
      </w:r>
      <w:r w:rsidR="0056148F" w:rsidRPr="00F26EF7">
        <w:rPr>
          <w:sz w:val="24"/>
          <w:szCs w:val="24"/>
          <w:lang w:val="en-US"/>
        </w:rPr>
        <w:t xml:space="preserve">nonviolent. </w:t>
      </w:r>
      <w:r w:rsidR="00E94455">
        <w:rPr>
          <w:sz w:val="24"/>
          <w:szCs w:val="24"/>
          <w:lang w:val="en-US"/>
        </w:rPr>
        <w:t xml:space="preserve">Widespread </w:t>
      </w:r>
      <w:r w:rsidR="00D4646A" w:rsidRPr="00F26EF7">
        <w:rPr>
          <w:sz w:val="24"/>
          <w:szCs w:val="24"/>
          <w:lang w:val="en-US"/>
        </w:rPr>
        <w:t xml:space="preserve">discontent </w:t>
      </w:r>
      <w:r w:rsidR="00E94455">
        <w:rPr>
          <w:sz w:val="24"/>
          <w:szCs w:val="24"/>
          <w:lang w:val="en-US"/>
        </w:rPr>
        <w:t>may allow mobilizing</w:t>
      </w:r>
      <w:r w:rsidR="00D4646A" w:rsidRPr="00F26EF7">
        <w:rPr>
          <w:sz w:val="24"/>
          <w:szCs w:val="24"/>
          <w:lang w:val="en-US"/>
        </w:rPr>
        <w:t xml:space="preserve"> </w:t>
      </w:r>
      <w:r w:rsidR="008E0946">
        <w:rPr>
          <w:sz w:val="24"/>
          <w:szCs w:val="24"/>
          <w:lang w:val="en-US"/>
        </w:rPr>
        <w:t>larger</w:t>
      </w:r>
      <w:r w:rsidR="00D4646A" w:rsidRPr="00F26EF7">
        <w:rPr>
          <w:sz w:val="24"/>
          <w:szCs w:val="24"/>
          <w:lang w:val="en-US"/>
        </w:rPr>
        <w:t xml:space="preserve"> numbers </w:t>
      </w:r>
      <w:r w:rsidR="008E0946">
        <w:rPr>
          <w:sz w:val="24"/>
          <w:szCs w:val="24"/>
          <w:lang w:val="en-US"/>
        </w:rPr>
        <w:t xml:space="preserve">for </w:t>
      </w:r>
      <w:r w:rsidR="00E076FB">
        <w:rPr>
          <w:sz w:val="24"/>
          <w:szCs w:val="24"/>
          <w:lang w:val="en-US"/>
        </w:rPr>
        <w:t xml:space="preserve">effective </w:t>
      </w:r>
      <w:r w:rsidR="005D3E4B" w:rsidRPr="00F26EF7">
        <w:rPr>
          <w:sz w:val="24"/>
          <w:szCs w:val="24"/>
          <w:lang w:val="en-US"/>
        </w:rPr>
        <w:t>nonviol</w:t>
      </w:r>
      <w:r w:rsidR="00D4646A" w:rsidRPr="00F26EF7">
        <w:rPr>
          <w:sz w:val="24"/>
          <w:szCs w:val="24"/>
          <w:lang w:val="en-US"/>
        </w:rPr>
        <w:t xml:space="preserve">ent </w:t>
      </w:r>
      <w:r w:rsidR="00621A97">
        <w:rPr>
          <w:sz w:val="24"/>
          <w:szCs w:val="24"/>
          <w:lang w:val="en-US"/>
        </w:rPr>
        <w:t xml:space="preserve">dissent </w:t>
      </w:r>
      <w:r w:rsidR="00D4646A" w:rsidRPr="00F26EF7">
        <w:rPr>
          <w:sz w:val="24"/>
          <w:szCs w:val="24"/>
          <w:lang w:val="en-US"/>
        </w:rPr>
        <w:t xml:space="preserve">than </w:t>
      </w:r>
      <w:r w:rsidR="008E0946">
        <w:rPr>
          <w:sz w:val="24"/>
          <w:szCs w:val="24"/>
          <w:lang w:val="en-US"/>
        </w:rPr>
        <w:t xml:space="preserve">for </w:t>
      </w:r>
      <w:r w:rsidR="00D4646A" w:rsidRPr="00F26EF7">
        <w:rPr>
          <w:sz w:val="24"/>
          <w:szCs w:val="24"/>
          <w:lang w:val="en-US"/>
        </w:rPr>
        <w:t>vio</w:t>
      </w:r>
      <w:r w:rsidR="00621A97">
        <w:rPr>
          <w:sz w:val="24"/>
          <w:szCs w:val="24"/>
          <w:lang w:val="en-US"/>
        </w:rPr>
        <w:t>lent dissent</w:t>
      </w:r>
      <w:r w:rsidR="00D4646A" w:rsidRPr="00F26EF7">
        <w:rPr>
          <w:sz w:val="24"/>
          <w:szCs w:val="24"/>
          <w:lang w:val="en-US"/>
        </w:rPr>
        <w:t xml:space="preserve">, </w:t>
      </w:r>
      <w:r w:rsidR="00E2520D" w:rsidRPr="00F26EF7">
        <w:rPr>
          <w:sz w:val="24"/>
          <w:szCs w:val="24"/>
          <w:lang w:val="en-US"/>
        </w:rPr>
        <w:t xml:space="preserve">as </w:t>
      </w:r>
      <w:r w:rsidR="005D3E4B" w:rsidRPr="00F26EF7">
        <w:rPr>
          <w:sz w:val="24"/>
          <w:szCs w:val="24"/>
          <w:lang w:val="en-US"/>
        </w:rPr>
        <w:t>nonviol</w:t>
      </w:r>
      <w:r w:rsidR="00E2520D" w:rsidRPr="00F26EF7">
        <w:rPr>
          <w:sz w:val="24"/>
          <w:szCs w:val="24"/>
          <w:lang w:val="en-US"/>
        </w:rPr>
        <w:t>ent dissent</w:t>
      </w:r>
      <w:r w:rsidR="00D4646A" w:rsidRPr="00F26EF7">
        <w:rPr>
          <w:sz w:val="24"/>
          <w:szCs w:val="24"/>
          <w:lang w:val="en-US"/>
        </w:rPr>
        <w:t xml:space="preserve"> requires few </w:t>
      </w:r>
      <w:r w:rsidR="00E2520D" w:rsidRPr="00F26EF7">
        <w:rPr>
          <w:sz w:val="24"/>
          <w:szCs w:val="24"/>
          <w:lang w:val="en-US"/>
        </w:rPr>
        <w:t xml:space="preserve">prior </w:t>
      </w:r>
      <w:r w:rsidR="00D4646A" w:rsidRPr="00F26EF7">
        <w:rPr>
          <w:sz w:val="24"/>
          <w:szCs w:val="24"/>
          <w:lang w:val="en-US"/>
        </w:rPr>
        <w:t xml:space="preserve">skills and has lower </w:t>
      </w:r>
      <w:r w:rsidR="00E94455">
        <w:rPr>
          <w:sz w:val="24"/>
          <w:szCs w:val="24"/>
          <w:lang w:val="en-US"/>
        </w:rPr>
        <w:t xml:space="preserve">risks and </w:t>
      </w:r>
      <w:r w:rsidR="00D4646A" w:rsidRPr="00F26EF7">
        <w:rPr>
          <w:sz w:val="24"/>
          <w:szCs w:val="24"/>
          <w:lang w:val="en-US"/>
        </w:rPr>
        <w:t xml:space="preserve">barriers </w:t>
      </w:r>
      <w:r w:rsidR="00F45F8C" w:rsidRPr="00F26EF7">
        <w:rPr>
          <w:sz w:val="24"/>
          <w:szCs w:val="24"/>
          <w:lang w:val="en-US"/>
        </w:rPr>
        <w:t>of</w:t>
      </w:r>
      <w:r w:rsidR="00D4646A" w:rsidRPr="00F26EF7">
        <w:rPr>
          <w:sz w:val="24"/>
          <w:szCs w:val="24"/>
          <w:lang w:val="en-US"/>
        </w:rPr>
        <w:t xml:space="preserve"> entry</w:t>
      </w:r>
      <w:r w:rsidR="00E076FB">
        <w:rPr>
          <w:sz w:val="24"/>
          <w:szCs w:val="24"/>
          <w:lang w:val="en-US"/>
        </w:rPr>
        <w:t xml:space="preserve"> than organized</w:t>
      </w:r>
      <w:r w:rsidR="00120B1E">
        <w:rPr>
          <w:sz w:val="24"/>
          <w:szCs w:val="24"/>
          <w:lang w:val="en-US"/>
        </w:rPr>
        <w:t xml:space="preserve"> rebe</w:t>
      </w:r>
      <w:r w:rsidR="00A81703">
        <w:rPr>
          <w:sz w:val="24"/>
          <w:szCs w:val="24"/>
          <w:lang w:val="en-US"/>
        </w:rPr>
        <w:t>ll</w:t>
      </w:r>
      <w:r w:rsidR="00120B1E">
        <w:rPr>
          <w:sz w:val="24"/>
          <w:szCs w:val="24"/>
          <w:lang w:val="en-US"/>
        </w:rPr>
        <w:t>i</w:t>
      </w:r>
      <w:r w:rsidR="00A81703">
        <w:rPr>
          <w:sz w:val="24"/>
          <w:szCs w:val="24"/>
          <w:lang w:val="en-US"/>
        </w:rPr>
        <w:t>on</w:t>
      </w:r>
      <w:r w:rsidR="00D4646A" w:rsidRPr="00F26EF7">
        <w:rPr>
          <w:sz w:val="24"/>
          <w:szCs w:val="24"/>
          <w:lang w:val="en-US"/>
        </w:rPr>
        <w:t xml:space="preserve">, at least </w:t>
      </w:r>
      <w:r w:rsidR="00120B1E">
        <w:rPr>
          <w:sz w:val="24"/>
          <w:szCs w:val="24"/>
          <w:lang w:val="en-US"/>
        </w:rPr>
        <w:t xml:space="preserve">once existing initial </w:t>
      </w:r>
      <w:r w:rsidR="00D4646A" w:rsidRPr="00F26EF7">
        <w:rPr>
          <w:sz w:val="24"/>
          <w:szCs w:val="24"/>
          <w:lang w:val="en-US"/>
        </w:rPr>
        <w:t xml:space="preserve">participation </w:t>
      </w:r>
      <w:r w:rsidR="00120B1E">
        <w:rPr>
          <w:sz w:val="24"/>
          <w:szCs w:val="24"/>
          <w:lang w:val="en-US"/>
        </w:rPr>
        <w:t xml:space="preserve">has crossed a minimum </w:t>
      </w:r>
      <w:r w:rsidR="00D4646A" w:rsidRPr="00F26EF7">
        <w:rPr>
          <w:sz w:val="24"/>
          <w:szCs w:val="24"/>
          <w:lang w:val="en-US"/>
        </w:rPr>
        <w:t>threshold</w:t>
      </w:r>
      <w:r w:rsidR="00E94455">
        <w:rPr>
          <w:sz w:val="24"/>
          <w:szCs w:val="24"/>
          <w:lang w:val="en-US"/>
        </w:rPr>
        <w:t xml:space="preserve"> </w:t>
      </w:r>
      <w:r w:rsidR="00E076FB" w:rsidRPr="00F26EF7">
        <w:rPr>
          <w:sz w:val="24"/>
          <w:szCs w:val="24"/>
          <w:lang w:val="en-US"/>
        </w:rPr>
        <w:t>(e.g., Bhavnani and Jha 2014; Chenoweth and Stepan 2011; Dahl et al. 2017; De Nardo 1985).</w:t>
      </w:r>
      <w:r w:rsidR="00D4646A" w:rsidRPr="00F26EF7">
        <w:rPr>
          <w:sz w:val="24"/>
          <w:szCs w:val="24"/>
          <w:lang w:val="en-US"/>
        </w:rPr>
        <w:t xml:space="preserve"> </w:t>
      </w:r>
      <w:r w:rsidR="0099151E" w:rsidRPr="00F26EF7">
        <w:rPr>
          <w:sz w:val="24"/>
          <w:szCs w:val="24"/>
          <w:lang w:val="en-US"/>
        </w:rPr>
        <w:t xml:space="preserve">As such, we should expect a </w:t>
      </w:r>
      <w:r w:rsidR="00120B1E">
        <w:rPr>
          <w:sz w:val="24"/>
          <w:szCs w:val="24"/>
          <w:lang w:val="en-US"/>
        </w:rPr>
        <w:t xml:space="preserve">more direct </w:t>
      </w:r>
      <w:r w:rsidR="0099151E" w:rsidRPr="00F26EF7">
        <w:rPr>
          <w:sz w:val="24"/>
          <w:szCs w:val="24"/>
          <w:lang w:val="en-US"/>
        </w:rPr>
        <w:t xml:space="preserve">impact </w:t>
      </w:r>
      <w:r w:rsidR="00120B1E">
        <w:rPr>
          <w:sz w:val="24"/>
          <w:szCs w:val="24"/>
          <w:lang w:val="en-US"/>
        </w:rPr>
        <w:t xml:space="preserve">of economic crises </w:t>
      </w:r>
      <w:r w:rsidR="0099151E" w:rsidRPr="00F26EF7">
        <w:rPr>
          <w:sz w:val="24"/>
          <w:szCs w:val="24"/>
          <w:lang w:val="en-US"/>
        </w:rPr>
        <w:t xml:space="preserve">on </w:t>
      </w:r>
      <w:r w:rsidR="00621A97">
        <w:rPr>
          <w:sz w:val="24"/>
          <w:szCs w:val="24"/>
          <w:lang w:val="en-US"/>
        </w:rPr>
        <w:t xml:space="preserve">the prospects for </w:t>
      </w:r>
      <w:r w:rsidR="0099151E" w:rsidRPr="00F26EF7">
        <w:rPr>
          <w:sz w:val="24"/>
          <w:szCs w:val="24"/>
          <w:lang w:val="en-US"/>
        </w:rPr>
        <w:t xml:space="preserve">nonviolent mobilization than on </w:t>
      </w:r>
      <w:r w:rsidR="00120B1E">
        <w:rPr>
          <w:sz w:val="24"/>
          <w:szCs w:val="24"/>
          <w:lang w:val="en-US"/>
        </w:rPr>
        <w:t xml:space="preserve">organized </w:t>
      </w:r>
      <w:r w:rsidR="0099151E" w:rsidRPr="00F26EF7">
        <w:rPr>
          <w:sz w:val="24"/>
          <w:szCs w:val="24"/>
          <w:lang w:val="en-US"/>
        </w:rPr>
        <w:t xml:space="preserve">violent </w:t>
      </w:r>
      <w:r w:rsidR="00120B1E">
        <w:rPr>
          <w:sz w:val="24"/>
          <w:szCs w:val="24"/>
          <w:lang w:val="en-US"/>
        </w:rPr>
        <w:t>rebellion</w:t>
      </w:r>
      <w:r w:rsidR="0099151E" w:rsidRPr="00F26EF7">
        <w:rPr>
          <w:sz w:val="24"/>
          <w:szCs w:val="24"/>
          <w:lang w:val="en-US"/>
        </w:rPr>
        <w:t xml:space="preserve">. </w:t>
      </w:r>
    </w:p>
    <w:p w14:paraId="1D4480E3" w14:textId="77777777" w:rsidR="009F7F75" w:rsidRPr="00F26EF7" w:rsidRDefault="009F7F75">
      <w:pPr>
        <w:rPr>
          <w:i/>
          <w:sz w:val="24"/>
          <w:szCs w:val="24"/>
          <w:lang w:val="en-US"/>
        </w:rPr>
      </w:pPr>
    </w:p>
    <w:p w14:paraId="24302529" w14:textId="77777777" w:rsidR="009F7F75" w:rsidRPr="00F26EF7" w:rsidRDefault="009F7F75">
      <w:pPr>
        <w:rPr>
          <w:i/>
          <w:sz w:val="24"/>
          <w:szCs w:val="24"/>
          <w:lang w:val="en-US"/>
        </w:rPr>
      </w:pPr>
      <w:r w:rsidRPr="00F26EF7">
        <w:rPr>
          <w:i/>
          <w:sz w:val="24"/>
          <w:szCs w:val="24"/>
          <w:lang w:val="en-US"/>
        </w:rPr>
        <w:t>The indirect link</w:t>
      </w:r>
    </w:p>
    <w:p w14:paraId="48239A0E" w14:textId="170FC1EA" w:rsidR="00F405BC" w:rsidRPr="00F26EF7" w:rsidRDefault="00D4646A">
      <w:pPr>
        <w:rPr>
          <w:lang w:val="en-US"/>
        </w:rPr>
      </w:pPr>
      <w:r w:rsidRPr="00F26EF7">
        <w:rPr>
          <w:sz w:val="24"/>
          <w:szCs w:val="24"/>
          <w:lang w:val="en-US"/>
        </w:rPr>
        <w:t xml:space="preserve">Governments </w:t>
      </w:r>
      <w:r w:rsidR="00810CED">
        <w:rPr>
          <w:sz w:val="24"/>
          <w:szCs w:val="24"/>
          <w:lang w:val="en-US"/>
        </w:rPr>
        <w:t xml:space="preserve">and international financial institutions </w:t>
      </w:r>
      <w:r w:rsidRPr="00F26EF7">
        <w:rPr>
          <w:sz w:val="24"/>
          <w:szCs w:val="24"/>
          <w:lang w:val="en-US"/>
        </w:rPr>
        <w:t xml:space="preserve">possess </w:t>
      </w:r>
      <w:r w:rsidR="0040619E" w:rsidRPr="00F26EF7">
        <w:rPr>
          <w:sz w:val="24"/>
          <w:szCs w:val="24"/>
          <w:lang w:val="en-US"/>
        </w:rPr>
        <w:t xml:space="preserve">various </w:t>
      </w:r>
      <w:r w:rsidRPr="00F26EF7">
        <w:rPr>
          <w:sz w:val="24"/>
          <w:szCs w:val="24"/>
          <w:lang w:val="en-US"/>
        </w:rPr>
        <w:t>fiscal and monetary tools to mediate the impact of economic shocks on their citizens</w:t>
      </w:r>
      <w:r w:rsidR="000A594A">
        <w:rPr>
          <w:sz w:val="24"/>
          <w:szCs w:val="24"/>
          <w:lang w:val="en-US"/>
        </w:rPr>
        <w:t>, and this should in turn affect the potential for dissent</w:t>
      </w:r>
      <w:r w:rsidRPr="00F26EF7">
        <w:rPr>
          <w:sz w:val="24"/>
          <w:szCs w:val="24"/>
          <w:lang w:val="en-US"/>
        </w:rPr>
        <w:t>. Keynesians advocate fiscal stimuli as a means to countera</w:t>
      </w:r>
      <w:r w:rsidR="0040619E" w:rsidRPr="00F26EF7">
        <w:rPr>
          <w:sz w:val="24"/>
          <w:szCs w:val="24"/>
          <w:lang w:val="en-US"/>
        </w:rPr>
        <w:t>ct the recessionary tendency</w:t>
      </w:r>
      <w:r w:rsidRPr="00F26EF7">
        <w:rPr>
          <w:sz w:val="24"/>
          <w:szCs w:val="24"/>
          <w:lang w:val="en-US"/>
        </w:rPr>
        <w:t xml:space="preserve"> after an economic shock, </w:t>
      </w:r>
      <w:r w:rsidR="000D7458">
        <w:rPr>
          <w:sz w:val="24"/>
          <w:szCs w:val="24"/>
          <w:lang w:val="en-US"/>
        </w:rPr>
        <w:t xml:space="preserve">but </w:t>
      </w:r>
      <w:r w:rsidRPr="00F26EF7">
        <w:rPr>
          <w:sz w:val="24"/>
          <w:szCs w:val="24"/>
          <w:lang w:val="en-US"/>
        </w:rPr>
        <w:t xml:space="preserve">some political economists </w:t>
      </w:r>
      <w:r w:rsidR="0040619E" w:rsidRPr="00F26EF7">
        <w:rPr>
          <w:sz w:val="24"/>
          <w:szCs w:val="24"/>
          <w:lang w:val="en-US"/>
        </w:rPr>
        <w:t xml:space="preserve">stress how </w:t>
      </w:r>
      <w:r w:rsidRPr="00F26EF7">
        <w:rPr>
          <w:sz w:val="24"/>
          <w:szCs w:val="24"/>
          <w:lang w:val="en-US"/>
        </w:rPr>
        <w:t xml:space="preserve">deficit reductions can reach </w:t>
      </w:r>
      <w:r w:rsidR="00E939FC">
        <w:rPr>
          <w:sz w:val="24"/>
          <w:szCs w:val="24"/>
          <w:lang w:val="en-US"/>
        </w:rPr>
        <w:t>the same goals. The latter school of thought hopes</w:t>
      </w:r>
      <w:r w:rsidRPr="00F26EF7">
        <w:rPr>
          <w:sz w:val="24"/>
          <w:szCs w:val="24"/>
          <w:lang w:val="en-US"/>
        </w:rPr>
        <w:t xml:space="preserve"> that by “reducing spending rather than by increasing taxes—budget consolidations are not harmful, and might indeed result in a boost to GDP” (Perotti 2013: 307). Alesina and Ardagna (2010) provide support for this thesis</w:t>
      </w:r>
      <w:r w:rsidR="00A41FCD" w:rsidRPr="00F26EF7">
        <w:rPr>
          <w:sz w:val="24"/>
          <w:szCs w:val="24"/>
          <w:lang w:val="en-US"/>
        </w:rPr>
        <w:t xml:space="preserve"> in an influential </w:t>
      </w:r>
      <w:r w:rsidR="0040619E" w:rsidRPr="00F26EF7">
        <w:rPr>
          <w:sz w:val="24"/>
          <w:szCs w:val="24"/>
          <w:lang w:val="en-US"/>
        </w:rPr>
        <w:t xml:space="preserve">empirical </w:t>
      </w:r>
      <w:r w:rsidR="00A41FCD" w:rsidRPr="00F26EF7">
        <w:rPr>
          <w:sz w:val="24"/>
          <w:szCs w:val="24"/>
          <w:lang w:val="en-US"/>
        </w:rPr>
        <w:t>study of fiscal consolidations in the OECD area</w:t>
      </w:r>
      <w:r w:rsidRPr="00F26EF7">
        <w:rPr>
          <w:sz w:val="24"/>
          <w:szCs w:val="24"/>
          <w:lang w:val="en-US"/>
        </w:rPr>
        <w:t xml:space="preserve">, arguing that austerity measures can serve as a commitment device to deal with the crisis now </w:t>
      </w:r>
      <w:r w:rsidRPr="00F26EF7">
        <w:rPr>
          <w:sz w:val="24"/>
          <w:szCs w:val="24"/>
          <w:lang w:val="en-US"/>
        </w:rPr>
        <w:lastRenderedPageBreak/>
        <w:t>rather than later</w:t>
      </w:r>
      <w:r w:rsidR="00681864" w:rsidRPr="00F26EF7">
        <w:rPr>
          <w:sz w:val="24"/>
          <w:szCs w:val="24"/>
          <w:lang w:val="en-US"/>
        </w:rPr>
        <w:t>,</w:t>
      </w:r>
      <w:r w:rsidRPr="00F26EF7">
        <w:rPr>
          <w:sz w:val="24"/>
          <w:szCs w:val="24"/>
          <w:lang w:val="en-US"/>
        </w:rPr>
        <w:t xml:space="preserve"> and </w:t>
      </w:r>
      <w:r w:rsidR="00681864" w:rsidRPr="00F26EF7">
        <w:rPr>
          <w:sz w:val="24"/>
          <w:szCs w:val="24"/>
          <w:lang w:val="en-US"/>
        </w:rPr>
        <w:t>have a positive e</w:t>
      </w:r>
      <w:r w:rsidRPr="00F26EF7">
        <w:rPr>
          <w:sz w:val="24"/>
          <w:szCs w:val="24"/>
          <w:lang w:val="en-US"/>
        </w:rPr>
        <w:t xml:space="preserve">ffect </w:t>
      </w:r>
      <w:r w:rsidR="00681864" w:rsidRPr="00F26EF7">
        <w:rPr>
          <w:sz w:val="24"/>
          <w:szCs w:val="24"/>
          <w:lang w:val="en-US"/>
        </w:rPr>
        <w:t xml:space="preserve">on </w:t>
      </w:r>
      <w:r w:rsidRPr="00F26EF7">
        <w:rPr>
          <w:sz w:val="24"/>
          <w:szCs w:val="24"/>
          <w:lang w:val="en-US"/>
        </w:rPr>
        <w:t>labor market expectations.</w:t>
      </w:r>
      <w:r w:rsidR="0040619E" w:rsidRPr="00F26EF7">
        <w:rPr>
          <w:sz w:val="24"/>
          <w:szCs w:val="24"/>
          <w:lang w:val="en-US"/>
        </w:rPr>
        <w:t xml:space="preserve"> </w:t>
      </w:r>
      <w:r w:rsidR="002C1BE5" w:rsidRPr="00F26EF7">
        <w:rPr>
          <w:sz w:val="24"/>
          <w:szCs w:val="24"/>
          <w:lang w:val="en-US"/>
        </w:rPr>
        <w:t xml:space="preserve">This recommendation is based on the insight that certain social groups mobilize to preempt the implementation of anticipated reform measures that target them disproportionally. Alesina and Drazen (1991) model the interaction between contending social groups as a war of attrition game, where both sides </w:t>
      </w:r>
      <w:r w:rsidR="001B7A7A" w:rsidRPr="00F26EF7">
        <w:rPr>
          <w:sz w:val="24"/>
          <w:szCs w:val="24"/>
          <w:lang w:val="en-US"/>
        </w:rPr>
        <w:t>rally</w:t>
      </w:r>
      <w:r w:rsidR="002C1BE5" w:rsidRPr="00F26EF7">
        <w:rPr>
          <w:sz w:val="24"/>
          <w:szCs w:val="24"/>
          <w:lang w:val="en-US"/>
        </w:rPr>
        <w:t xml:space="preserve"> to force the other to carry the burden of adjustment. The incentive</w:t>
      </w:r>
      <w:r w:rsidR="008E0946">
        <w:rPr>
          <w:sz w:val="24"/>
          <w:szCs w:val="24"/>
          <w:lang w:val="en-US"/>
        </w:rPr>
        <w:t>s</w:t>
      </w:r>
      <w:r w:rsidR="002C1BE5" w:rsidRPr="00F26EF7">
        <w:rPr>
          <w:sz w:val="24"/>
          <w:szCs w:val="24"/>
          <w:lang w:val="en-US"/>
        </w:rPr>
        <w:t xml:space="preserve"> to hold out as long as possible provides a rationale for why social mobilization increases before decisions are made on political reforms following an economic shock</w:t>
      </w:r>
      <w:r w:rsidR="005658E6">
        <w:rPr>
          <w:sz w:val="24"/>
          <w:szCs w:val="24"/>
          <w:lang w:val="en-US"/>
        </w:rPr>
        <w:t xml:space="preserve"> (Magee and Massoud 2011)</w:t>
      </w:r>
      <w:r w:rsidR="002C1BE5" w:rsidRPr="00F26EF7">
        <w:rPr>
          <w:sz w:val="24"/>
          <w:szCs w:val="24"/>
          <w:lang w:val="en-US"/>
        </w:rPr>
        <w:t>.</w:t>
      </w:r>
    </w:p>
    <w:p w14:paraId="18D9E1B5" w14:textId="77245797" w:rsidR="00F405BC" w:rsidRPr="00F26EF7" w:rsidRDefault="00D4646A">
      <w:pPr>
        <w:rPr>
          <w:sz w:val="24"/>
          <w:szCs w:val="24"/>
          <w:lang w:val="en-US"/>
        </w:rPr>
      </w:pPr>
      <w:r w:rsidRPr="00F26EF7">
        <w:rPr>
          <w:sz w:val="24"/>
          <w:szCs w:val="24"/>
          <w:lang w:val="en-US"/>
        </w:rPr>
        <w:t xml:space="preserve">Jordá and Taylor´s </w:t>
      </w:r>
      <w:r w:rsidR="00681864" w:rsidRPr="00F26EF7">
        <w:rPr>
          <w:sz w:val="24"/>
          <w:szCs w:val="24"/>
          <w:lang w:val="en-US"/>
        </w:rPr>
        <w:t xml:space="preserve">(2016: 249) </w:t>
      </w:r>
      <w:r w:rsidR="001B7A7A" w:rsidRPr="00F26EF7">
        <w:rPr>
          <w:sz w:val="24"/>
          <w:szCs w:val="24"/>
          <w:lang w:val="en-US"/>
        </w:rPr>
        <w:t xml:space="preserve">careful </w:t>
      </w:r>
      <w:r w:rsidR="00681864" w:rsidRPr="00F26EF7">
        <w:rPr>
          <w:sz w:val="24"/>
          <w:szCs w:val="24"/>
          <w:lang w:val="en-US"/>
        </w:rPr>
        <w:t>empirical analysis</w:t>
      </w:r>
      <w:r w:rsidR="008D7514">
        <w:rPr>
          <w:sz w:val="24"/>
          <w:szCs w:val="24"/>
          <w:lang w:val="en-US"/>
        </w:rPr>
        <w:t xml:space="preserve"> </w:t>
      </w:r>
      <w:r w:rsidRPr="00F26EF7">
        <w:rPr>
          <w:sz w:val="24"/>
          <w:szCs w:val="24"/>
          <w:lang w:val="en-US"/>
        </w:rPr>
        <w:t xml:space="preserve">casts doubt on the growth-through-austerity thesis. Concluding that “Keynes was right after all”, they show that absolute GDP-reduction through austerity outweighs the gain of equivalent measures undertaken during boom years. Although governments </w:t>
      </w:r>
      <w:r w:rsidR="00681864" w:rsidRPr="00F26EF7">
        <w:rPr>
          <w:i/>
          <w:sz w:val="24"/>
          <w:szCs w:val="24"/>
          <w:lang w:val="en-US"/>
        </w:rPr>
        <w:t>should</w:t>
      </w:r>
      <w:r w:rsidR="00681864" w:rsidRPr="00F26EF7">
        <w:rPr>
          <w:sz w:val="24"/>
          <w:szCs w:val="24"/>
          <w:lang w:val="en-US"/>
        </w:rPr>
        <w:t xml:space="preserve"> </w:t>
      </w:r>
      <w:r w:rsidRPr="00F26EF7">
        <w:rPr>
          <w:sz w:val="24"/>
          <w:szCs w:val="24"/>
          <w:lang w:val="en-US"/>
        </w:rPr>
        <w:t xml:space="preserve">employ counter-cyclical fiscal measures following an economic shock, they might not have the capacity to do so. Among the member states of the European </w:t>
      </w:r>
      <w:r w:rsidR="00810CED">
        <w:rPr>
          <w:sz w:val="24"/>
          <w:szCs w:val="24"/>
          <w:lang w:val="en-US"/>
        </w:rPr>
        <w:t xml:space="preserve">Political and Monetary </w:t>
      </w:r>
      <w:r w:rsidRPr="00F26EF7">
        <w:rPr>
          <w:sz w:val="24"/>
          <w:szCs w:val="24"/>
          <w:lang w:val="en-US"/>
        </w:rPr>
        <w:t>Union, the Stability and Growth Pact limits the possibility to employ discretionary fiscal policies during times of crises</w:t>
      </w:r>
      <w:r w:rsidR="00810CED">
        <w:rPr>
          <w:sz w:val="24"/>
          <w:szCs w:val="24"/>
          <w:lang w:val="en-US"/>
        </w:rPr>
        <w:t>. C</w:t>
      </w:r>
      <w:r w:rsidRPr="00F26EF7">
        <w:rPr>
          <w:sz w:val="24"/>
          <w:szCs w:val="24"/>
          <w:lang w:val="en-US"/>
        </w:rPr>
        <w:t>ountries</w:t>
      </w:r>
      <w:r w:rsidR="00681864" w:rsidRPr="00F26EF7">
        <w:rPr>
          <w:sz w:val="24"/>
          <w:szCs w:val="24"/>
          <w:lang w:val="en-US"/>
        </w:rPr>
        <w:t xml:space="preserve"> that</w:t>
      </w:r>
      <w:r w:rsidR="00164DA0" w:rsidRPr="00F26EF7">
        <w:rPr>
          <w:sz w:val="24"/>
          <w:szCs w:val="24"/>
          <w:lang w:val="en-US"/>
        </w:rPr>
        <w:t xml:space="preserve"> are already heavily indebted</w:t>
      </w:r>
      <w:r w:rsidRPr="00F26EF7">
        <w:rPr>
          <w:sz w:val="24"/>
          <w:szCs w:val="24"/>
          <w:lang w:val="en-US"/>
        </w:rPr>
        <w:t xml:space="preserve"> risk </w:t>
      </w:r>
      <w:r w:rsidR="00164DA0" w:rsidRPr="00F26EF7">
        <w:rPr>
          <w:sz w:val="24"/>
          <w:szCs w:val="24"/>
          <w:lang w:val="en-US"/>
        </w:rPr>
        <w:t>making</w:t>
      </w:r>
      <w:r w:rsidRPr="00F26EF7">
        <w:rPr>
          <w:sz w:val="24"/>
          <w:szCs w:val="24"/>
          <w:lang w:val="en-US"/>
        </w:rPr>
        <w:t xml:space="preserve"> matters </w:t>
      </w:r>
      <w:r w:rsidR="00E939FC">
        <w:rPr>
          <w:sz w:val="24"/>
          <w:szCs w:val="24"/>
          <w:lang w:val="en-US"/>
        </w:rPr>
        <w:t xml:space="preserve">even </w:t>
      </w:r>
      <w:r w:rsidRPr="00F26EF7">
        <w:rPr>
          <w:sz w:val="24"/>
          <w:szCs w:val="24"/>
          <w:lang w:val="en-US"/>
        </w:rPr>
        <w:t xml:space="preserve">worse through the hyperinflation that a fiscal stimulus might create.  </w:t>
      </w:r>
      <w:r w:rsidR="00E939FC">
        <w:rPr>
          <w:sz w:val="24"/>
          <w:szCs w:val="24"/>
          <w:lang w:val="en-US"/>
        </w:rPr>
        <w:t xml:space="preserve">Since </w:t>
      </w:r>
      <w:r w:rsidRPr="00F26EF7">
        <w:rPr>
          <w:sz w:val="24"/>
          <w:szCs w:val="24"/>
          <w:lang w:val="en-US"/>
        </w:rPr>
        <w:t xml:space="preserve">printing money has the same effect, governments have frequently moved to devaluations to stimulate their economies or through unorthodox measures such as quantitative easing. Governments, however, do not </w:t>
      </w:r>
      <w:r w:rsidR="00003F5F" w:rsidRPr="00F26EF7">
        <w:rPr>
          <w:sz w:val="24"/>
          <w:szCs w:val="24"/>
          <w:lang w:val="en-US"/>
        </w:rPr>
        <w:t xml:space="preserve">prefer </w:t>
      </w:r>
      <w:r w:rsidRPr="00F26EF7">
        <w:rPr>
          <w:sz w:val="24"/>
          <w:szCs w:val="24"/>
          <w:lang w:val="en-US"/>
        </w:rPr>
        <w:t xml:space="preserve">to depreciate their currencies as they risk </w:t>
      </w:r>
      <w:r w:rsidR="00650035" w:rsidRPr="00F26EF7">
        <w:rPr>
          <w:sz w:val="24"/>
          <w:szCs w:val="24"/>
          <w:lang w:val="en-US"/>
        </w:rPr>
        <w:t>being</w:t>
      </w:r>
      <w:r w:rsidRPr="00F26EF7">
        <w:rPr>
          <w:sz w:val="24"/>
          <w:szCs w:val="24"/>
          <w:lang w:val="en-US"/>
        </w:rPr>
        <w:t xml:space="preserve"> voted out in the aftermath of such a “humiliating” experience (Walter 2009), and members of a monetary union have lost their ability to pursue this option altogether. Interest rate policies and the New Keynesian monetary tools have indeed </w:t>
      </w:r>
      <w:r w:rsidR="00D23AAD" w:rsidRPr="00F26EF7">
        <w:rPr>
          <w:sz w:val="24"/>
          <w:szCs w:val="24"/>
          <w:lang w:val="en-US"/>
        </w:rPr>
        <w:t xml:space="preserve">been </w:t>
      </w:r>
      <w:r w:rsidRPr="00F26EF7">
        <w:rPr>
          <w:sz w:val="24"/>
          <w:szCs w:val="24"/>
          <w:lang w:val="en-US"/>
        </w:rPr>
        <w:t xml:space="preserve">shown to reduce the potential of social mobilization within the European Union (Genovese, Schneider, </w:t>
      </w:r>
      <w:r w:rsidR="00542740" w:rsidRPr="00F26EF7">
        <w:rPr>
          <w:sz w:val="24"/>
          <w:szCs w:val="24"/>
          <w:lang w:val="en-US"/>
        </w:rPr>
        <w:t xml:space="preserve">and </w:t>
      </w:r>
      <w:r w:rsidRPr="00F26EF7">
        <w:rPr>
          <w:sz w:val="24"/>
          <w:szCs w:val="24"/>
          <w:lang w:val="en-US"/>
        </w:rPr>
        <w:t>Wassmann  2016), but it is unclear if they can be effective in less mature markets.</w:t>
      </w:r>
    </w:p>
    <w:p w14:paraId="79B48F54" w14:textId="50DBB3C6" w:rsidR="00F405BC" w:rsidRPr="00F26EF7" w:rsidRDefault="00D4646A">
      <w:pPr>
        <w:rPr>
          <w:sz w:val="24"/>
          <w:szCs w:val="24"/>
          <w:lang w:val="en-US"/>
        </w:rPr>
      </w:pPr>
      <w:r w:rsidRPr="00F26EF7">
        <w:rPr>
          <w:sz w:val="24"/>
          <w:szCs w:val="24"/>
          <w:lang w:val="en-US"/>
        </w:rPr>
        <w:t xml:space="preserve">The </w:t>
      </w:r>
      <w:r w:rsidR="00031C96" w:rsidRPr="00F26EF7">
        <w:rPr>
          <w:sz w:val="24"/>
          <w:szCs w:val="24"/>
          <w:lang w:val="en-US"/>
        </w:rPr>
        <w:t xml:space="preserve">fact that domestic </w:t>
      </w:r>
      <w:r w:rsidRPr="00F26EF7">
        <w:rPr>
          <w:sz w:val="24"/>
          <w:szCs w:val="24"/>
          <w:lang w:val="en-US"/>
        </w:rPr>
        <w:t xml:space="preserve">policy </w:t>
      </w:r>
      <w:r w:rsidR="008A233F" w:rsidRPr="00F26EF7">
        <w:rPr>
          <w:sz w:val="24"/>
          <w:szCs w:val="24"/>
          <w:lang w:val="en-US"/>
        </w:rPr>
        <w:t xml:space="preserve">options </w:t>
      </w:r>
      <w:r w:rsidR="00031C96" w:rsidRPr="00F26EF7">
        <w:rPr>
          <w:sz w:val="24"/>
          <w:szCs w:val="24"/>
          <w:lang w:val="en-US"/>
        </w:rPr>
        <w:t xml:space="preserve">are constrained </w:t>
      </w:r>
      <w:r w:rsidR="008A233F" w:rsidRPr="00F26EF7">
        <w:rPr>
          <w:sz w:val="24"/>
          <w:szCs w:val="24"/>
          <w:lang w:val="en-US"/>
        </w:rPr>
        <w:t xml:space="preserve">during </w:t>
      </w:r>
      <w:r w:rsidR="00B14314" w:rsidRPr="00F26EF7">
        <w:rPr>
          <w:sz w:val="24"/>
          <w:szCs w:val="24"/>
          <w:lang w:val="en-US"/>
        </w:rPr>
        <w:t xml:space="preserve">times of financial stress </w:t>
      </w:r>
      <w:r w:rsidR="00031C96" w:rsidRPr="00F26EF7">
        <w:rPr>
          <w:sz w:val="24"/>
          <w:szCs w:val="24"/>
          <w:lang w:val="en-US"/>
        </w:rPr>
        <w:t xml:space="preserve">is a key </w:t>
      </w:r>
      <w:r w:rsidR="008A233F" w:rsidRPr="00F26EF7">
        <w:rPr>
          <w:sz w:val="24"/>
          <w:szCs w:val="24"/>
          <w:lang w:val="en-US"/>
        </w:rPr>
        <w:t xml:space="preserve">reason why </w:t>
      </w:r>
      <w:r w:rsidRPr="00F26EF7">
        <w:rPr>
          <w:sz w:val="24"/>
          <w:szCs w:val="24"/>
          <w:lang w:val="en-US"/>
        </w:rPr>
        <w:t xml:space="preserve">countries </w:t>
      </w:r>
      <w:r w:rsidR="008A233F" w:rsidRPr="00F26EF7">
        <w:rPr>
          <w:sz w:val="24"/>
          <w:szCs w:val="24"/>
          <w:lang w:val="en-US"/>
        </w:rPr>
        <w:t xml:space="preserve">may </w:t>
      </w:r>
      <w:r w:rsidRPr="00F26EF7">
        <w:rPr>
          <w:sz w:val="24"/>
          <w:szCs w:val="24"/>
          <w:lang w:val="en-US"/>
        </w:rPr>
        <w:t xml:space="preserve">turn to the international community and </w:t>
      </w:r>
      <w:r w:rsidR="00B14314" w:rsidRPr="00F26EF7">
        <w:rPr>
          <w:sz w:val="24"/>
          <w:szCs w:val="24"/>
          <w:lang w:val="en-US"/>
        </w:rPr>
        <w:t xml:space="preserve">especially </w:t>
      </w:r>
      <w:r w:rsidRPr="00F26EF7">
        <w:rPr>
          <w:sz w:val="24"/>
          <w:szCs w:val="24"/>
          <w:lang w:val="en-US"/>
        </w:rPr>
        <w:t>the IMF for assistance.</w:t>
      </w:r>
      <w:r w:rsidR="00003F5F" w:rsidRPr="00F26EF7">
        <w:rPr>
          <w:sz w:val="24"/>
          <w:szCs w:val="24"/>
          <w:lang w:val="en-US"/>
        </w:rPr>
        <w:t xml:space="preserve"> The IMF started to link l</w:t>
      </w:r>
      <w:r w:rsidRPr="00F26EF7">
        <w:rPr>
          <w:sz w:val="24"/>
          <w:szCs w:val="24"/>
          <w:lang w:val="en-US"/>
        </w:rPr>
        <w:t xml:space="preserve">oan </w:t>
      </w:r>
      <w:r w:rsidR="002B704D" w:rsidRPr="00F26EF7">
        <w:rPr>
          <w:sz w:val="24"/>
          <w:szCs w:val="24"/>
          <w:lang w:val="en-US"/>
        </w:rPr>
        <w:t xml:space="preserve">disbursement </w:t>
      </w:r>
      <w:r w:rsidRPr="00F26EF7">
        <w:rPr>
          <w:sz w:val="24"/>
          <w:szCs w:val="24"/>
          <w:lang w:val="en-US"/>
        </w:rPr>
        <w:t>to political conditionality during the debt crisis. The IMF-mandated prescriptions often include fiscal austerity,</w:t>
      </w:r>
      <w:r w:rsidRPr="00F26EF7">
        <w:rPr>
          <w:lang w:val="en-US"/>
        </w:rPr>
        <w:t xml:space="preserve"> </w:t>
      </w:r>
      <w:r w:rsidRPr="00F26EF7">
        <w:rPr>
          <w:sz w:val="24"/>
          <w:szCs w:val="24"/>
          <w:lang w:val="en-US"/>
        </w:rPr>
        <w:t xml:space="preserve">macroeconomic stabilization, the downsizing of the public sector, trade and capital account liberalization, and deregulation. Yet, critics of the </w:t>
      </w:r>
      <w:r w:rsidR="00B14314" w:rsidRPr="00F26EF7">
        <w:rPr>
          <w:sz w:val="24"/>
          <w:szCs w:val="24"/>
          <w:lang w:val="en-US"/>
        </w:rPr>
        <w:t>Bretton Woods organization</w:t>
      </w:r>
      <w:r w:rsidRPr="00F26EF7">
        <w:rPr>
          <w:sz w:val="24"/>
          <w:szCs w:val="24"/>
          <w:lang w:val="en-US"/>
        </w:rPr>
        <w:t xml:space="preserve"> maintain that the implementation of the measures recommended in the former reform blueprint “Washington Consensus” wors</w:t>
      </w:r>
      <w:r w:rsidRPr="00F26EF7">
        <w:rPr>
          <w:sz w:val="24"/>
          <w:szCs w:val="24"/>
          <w:lang w:val="en-US"/>
        </w:rPr>
        <w:lastRenderedPageBreak/>
        <w:t xml:space="preserve">ens the crisis and also backfires in the form of increased social protest. This pattern was already observable at the beginning of the Latin American debt crisis </w:t>
      </w:r>
      <w:r w:rsidR="00E96A46">
        <w:rPr>
          <w:sz w:val="24"/>
          <w:szCs w:val="24"/>
          <w:lang w:val="en-US"/>
        </w:rPr>
        <w:t xml:space="preserve">in </w:t>
      </w:r>
      <w:r w:rsidRPr="00F26EF7">
        <w:rPr>
          <w:sz w:val="24"/>
          <w:szCs w:val="24"/>
          <w:lang w:val="en-US"/>
        </w:rPr>
        <w:t xml:space="preserve">the late 1970s and early 1980s. According to Walton and Ragin (1990: 877), “a wave of austerity protests has occurred in 26 of the approximately 80 debtor countries”, with “overurbanization” and the involvement of IGOs in domestic affairs being the key drivers of the mass revolts. In his widely discussed polemic </w:t>
      </w:r>
      <w:r w:rsidRPr="00F26EF7">
        <w:rPr>
          <w:i/>
          <w:sz w:val="24"/>
          <w:szCs w:val="24"/>
          <w:lang w:val="en-US"/>
        </w:rPr>
        <w:t>Globalization and its Discontents,</w:t>
      </w:r>
      <w:r w:rsidRPr="00F26EF7">
        <w:rPr>
          <w:sz w:val="24"/>
          <w:szCs w:val="24"/>
          <w:lang w:val="en-US"/>
        </w:rPr>
        <w:t xml:space="preserve"> Stiglitz (2002: 20) anticipated such riots as a consequence of the “international system of globalization under the aegis of the IMF”.</w:t>
      </w:r>
      <w:r w:rsidRPr="00F26EF7">
        <w:rPr>
          <w:rStyle w:val="FootnoteAnchor"/>
          <w:sz w:val="24"/>
          <w:szCs w:val="24"/>
          <w:lang w:val="en-US"/>
        </w:rPr>
        <w:footnoteReference w:id="2"/>
      </w:r>
      <w:r w:rsidRPr="00F26EF7">
        <w:rPr>
          <w:sz w:val="24"/>
          <w:szCs w:val="24"/>
          <w:lang w:val="en-US"/>
        </w:rPr>
        <w:t xml:space="preserve"> The </w:t>
      </w:r>
      <w:r w:rsidR="00344AD9" w:rsidRPr="00F26EF7">
        <w:rPr>
          <w:sz w:val="24"/>
          <w:szCs w:val="24"/>
          <w:lang w:val="en-US"/>
        </w:rPr>
        <w:t xml:space="preserve">empirical </w:t>
      </w:r>
      <w:r w:rsidRPr="00F26EF7">
        <w:rPr>
          <w:sz w:val="24"/>
          <w:szCs w:val="24"/>
          <w:lang w:val="en-US"/>
        </w:rPr>
        <w:t xml:space="preserve">evidence assembled by Oberdabernig (2013) </w:t>
      </w:r>
      <w:r w:rsidR="00344AD9" w:rsidRPr="00F26EF7">
        <w:rPr>
          <w:sz w:val="24"/>
          <w:szCs w:val="24"/>
          <w:lang w:val="en-US"/>
        </w:rPr>
        <w:t>appears to show</w:t>
      </w:r>
      <w:r w:rsidRPr="00F26EF7">
        <w:rPr>
          <w:sz w:val="24"/>
          <w:szCs w:val="24"/>
          <w:lang w:val="en-US"/>
        </w:rPr>
        <w:t xml:space="preserve"> that IMF programs have increased poverty and inequality, at least in the short run, </w:t>
      </w:r>
      <w:r w:rsidR="00344AD9" w:rsidRPr="00F26EF7">
        <w:rPr>
          <w:sz w:val="24"/>
          <w:szCs w:val="24"/>
          <w:lang w:val="en-US"/>
        </w:rPr>
        <w:t xml:space="preserve">even though </w:t>
      </w:r>
      <w:r w:rsidRPr="00F26EF7">
        <w:rPr>
          <w:sz w:val="24"/>
          <w:szCs w:val="24"/>
          <w:lang w:val="en-US"/>
        </w:rPr>
        <w:t xml:space="preserve">this trend has reversed after 2000. </w:t>
      </w:r>
    </w:p>
    <w:p w14:paraId="1EEB7AA9" w14:textId="6C1D7960" w:rsidR="00F405BC" w:rsidRPr="00F26EF7" w:rsidRDefault="00D4646A">
      <w:pPr>
        <w:rPr>
          <w:lang w:val="en-US"/>
        </w:rPr>
      </w:pPr>
      <w:r w:rsidRPr="00F26EF7">
        <w:rPr>
          <w:sz w:val="24"/>
          <w:szCs w:val="24"/>
          <w:lang w:val="en-US"/>
        </w:rPr>
        <w:t xml:space="preserve">Trade theory provides a rationale for </w:t>
      </w:r>
      <w:r w:rsidR="00E96A46">
        <w:rPr>
          <w:sz w:val="24"/>
          <w:szCs w:val="24"/>
          <w:lang w:val="en-US"/>
        </w:rPr>
        <w:t xml:space="preserve">mobilization by those who fear that they may </w:t>
      </w:r>
      <w:r w:rsidRPr="00F26EF7">
        <w:rPr>
          <w:sz w:val="24"/>
          <w:szCs w:val="24"/>
          <w:lang w:val="en-US"/>
        </w:rPr>
        <w:t xml:space="preserve">lose out </w:t>
      </w:r>
      <w:r w:rsidR="00E96A46">
        <w:rPr>
          <w:sz w:val="24"/>
          <w:szCs w:val="24"/>
          <w:lang w:val="en-US"/>
        </w:rPr>
        <w:t xml:space="preserve">from </w:t>
      </w:r>
      <w:r w:rsidRPr="00F26EF7">
        <w:rPr>
          <w:sz w:val="24"/>
          <w:szCs w:val="24"/>
          <w:lang w:val="en-US"/>
        </w:rPr>
        <w:t xml:space="preserve">the introduction of market-oriented reforms. </w:t>
      </w:r>
      <w:r w:rsidR="00C838E5">
        <w:rPr>
          <w:sz w:val="24"/>
          <w:szCs w:val="24"/>
          <w:lang w:val="en-US"/>
        </w:rPr>
        <w:t xml:space="preserve">In terms of the likely </w:t>
      </w:r>
      <w:r w:rsidRPr="00F26EF7">
        <w:rPr>
          <w:sz w:val="24"/>
          <w:szCs w:val="24"/>
          <w:lang w:val="en-US"/>
        </w:rPr>
        <w:t xml:space="preserve">winners and losers of economic reform, the Heckscher-Ohlin model suggests a division between factors or classes as the key feature of trade policy making. It predicts that actors tied to the abundant factors in an economy will be winners, thus </w:t>
      </w:r>
      <w:r w:rsidR="007E1843">
        <w:rPr>
          <w:sz w:val="24"/>
          <w:szCs w:val="24"/>
          <w:lang w:val="en-US"/>
        </w:rPr>
        <w:t xml:space="preserve">likely to </w:t>
      </w:r>
      <w:r w:rsidRPr="00F26EF7">
        <w:rPr>
          <w:sz w:val="24"/>
          <w:szCs w:val="24"/>
          <w:lang w:val="en-US"/>
        </w:rPr>
        <w:t>favor</w:t>
      </w:r>
      <w:r w:rsidR="007E1843">
        <w:rPr>
          <w:sz w:val="24"/>
          <w:szCs w:val="24"/>
          <w:lang w:val="en-US"/>
        </w:rPr>
        <w:t xml:space="preserve"> and </w:t>
      </w:r>
      <w:r w:rsidRPr="00F26EF7">
        <w:rPr>
          <w:sz w:val="24"/>
          <w:szCs w:val="24"/>
          <w:lang w:val="en-US"/>
        </w:rPr>
        <w:t>support</w:t>
      </w:r>
      <w:r w:rsidR="007E1843">
        <w:rPr>
          <w:sz w:val="24"/>
          <w:szCs w:val="24"/>
          <w:lang w:val="en-US"/>
        </w:rPr>
        <w:t xml:space="preserve"> </w:t>
      </w:r>
      <w:r w:rsidRPr="00F26EF7">
        <w:rPr>
          <w:sz w:val="24"/>
          <w:szCs w:val="24"/>
          <w:lang w:val="en-US"/>
        </w:rPr>
        <w:t xml:space="preserve">a liberalization process, while </w:t>
      </w:r>
      <w:r w:rsidR="007E1843">
        <w:rPr>
          <w:sz w:val="24"/>
          <w:szCs w:val="24"/>
          <w:lang w:val="en-US"/>
        </w:rPr>
        <w:t xml:space="preserve">actors associated with </w:t>
      </w:r>
      <w:r w:rsidRPr="00F26EF7">
        <w:rPr>
          <w:sz w:val="24"/>
          <w:szCs w:val="24"/>
          <w:lang w:val="en-US"/>
        </w:rPr>
        <w:t>the scarce factor</w:t>
      </w:r>
      <w:r w:rsidR="007E1843">
        <w:rPr>
          <w:sz w:val="24"/>
          <w:szCs w:val="24"/>
          <w:lang w:val="en-US"/>
        </w:rPr>
        <w:t>s</w:t>
      </w:r>
      <w:r w:rsidRPr="00F26EF7">
        <w:rPr>
          <w:sz w:val="24"/>
          <w:szCs w:val="24"/>
          <w:lang w:val="en-US"/>
        </w:rPr>
        <w:t xml:space="preserve"> will </w:t>
      </w:r>
      <w:r w:rsidR="007E1843">
        <w:rPr>
          <w:sz w:val="24"/>
          <w:szCs w:val="24"/>
          <w:lang w:val="en-US"/>
        </w:rPr>
        <w:t xml:space="preserve">be worse off </w:t>
      </w:r>
      <w:r w:rsidRPr="00F26EF7">
        <w:rPr>
          <w:sz w:val="24"/>
          <w:szCs w:val="24"/>
          <w:lang w:val="en-US"/>
        </w:rPr>
        <w:t xml:space="preserve">and </w:t>
      </w:r>
      <w:r w:rsidR="007E1843">
        <w:rPr>
          <w:sz w:val="24"/>
          <w:szCs w:val="24"/>
          <w:lang w:val="en-US"/>
        </w:rPr>
        <w:t xml:space="preserve">hence </w:t>
      </w:r>
      <w:r w:rsidRPr="00F26EF7">
        <w:rPr>
          <w:sz w:val="24"/>
          <w:szCs w:val="24"/>
          <w:lang w:val="en-US"/>
        </w:rPr>
        <w:t xml:space="preserve">oppose free-trade reforms. The Ricardo-Viner model distinguishes between export-competing </w:t>
      </w:r>
      <w:r w:rsidR="00720EAA" w:rsidRPr="00F26EF7">
        <w:rPr>
          <w:sz w:val="24"/>
          <w:szCs w:val="24"/>
          <w:lang w:val="en-US"/>
        </w:rPr>
        <w:t xml:space="preserve">and import-substituting sectors, </w:t>
      </w:r>
      <w:r w:rsidRPr="00F26EF7">
        <w:rPr>
          <w:sz w:val="24"/>
          <w:szCs w:val="24"/>
          <w:lang w:val="en-US"/>
        </w:rPr>
        <w:t xml:space="preserve">and </w:t>
      </w:r>
      <w:r w:rsidR="00720EAA" w:rsidRPr="00F26EF7">
        <w:rPr>
          <w:sz w:val="24"/>
          <w:szCs w:val="24"/>
          <w:lang w:val="en-US"/>
        </w:rPr>
        <w:t xml:space="preserve">considers </w:t>
      </w:r>
      <w:r w:rsidR="007E1843">
        <w:rPr>
          <w:sz w:val="24"/>
          <w:szCs w:val="24"/>
          <w:lang w:val="en-US"/>
        </w:rPr>
        <w:t xml:space="preserve">how </w:t>
      </w:r>
      <w:r w:rsidRPr="00F26EF7">
        <w:rPr>
          <w:sz w:val="24"/>
          <w:szCs w:val="24"/>
          <w:lang w:val="en-US"/>
        </w:rPr>
        <w:t xml:space="preserve">not all factors </w:t>
      </w:r>
      <w:r w:rsidR="00720EAA" w:rsidRPr="00F26EF7">
        <w:rPr>
          <w:sz w:val="24"/>
          <w:szCs w:val="24"/>
          <w:lang w:val="en-US"/>
        </w:rPr>
        <w:t xml:space="preserve">may </w:t>
      </w:r>
      <w:r w:rsidRPr="00F26EF7">
        <w:rPr>
          <w:sz w:val="24"/>
          <w:szCs w:val="24"/>
          <w:lang w:val="en-US"/>
        </w:rPr>
        <w:t>be mobile betw</w:t>
      </w:r>
      <w:r w:rsidR="00720EAA" w:rsidRPr="00F26EF7">
        <w:rPr>
          <w:sz w:val="24"/>
          <w:szCs w:val="24"/>
          <w:lang w:val="en-US"/>
        </w:rPr>
        <w:t xml:space="preserve">een the different sectors. Thus, </w:t>
      </w:r>
      <w:r w:rsidRPr="00F26EF7">
        <w:rPr>
          <w:sz w:val="24"/>
          <w:szCs w:val="24"/>
          <w:lang w:val="en-US"/>
        </w:rPr>
        <w:t xml:space="preserve">sector-specific production </w:t>
      </w:r>
      <w:r w:rsidR="00720EAA" w:rsidRPr="00F26EF7">
        <w:rPr>
          <w:sz w:val="24"/>
          <w:szCs w:val="24"/>
          <w:lang w:val="en-US"/>
        </w:rPr>
        <w:t xml:space="preserve">factors </w:t>
      </w:r>
      <w:r w:rsidRPr="00F26EF7">
        <w:rPr>
          <w:sz w:val="24"/>
          <w:szCs w:val="24"/>
          <w:lang w:val="en-US"/>
        </w:rPr>
        <w:t>cannot easily shif</w:t>
      </w:r>
      <w:r w:rsidR="0043642A" w:rsidRPr="00F26EF7">
        <w:rPr>
          <w:sz w:val="24"/>
          <w:szCs w:val="24"/>
          <w:lang w:val="en-US"/>
        </w:rPr>
        <w:t xml:space="preserve">t from one industry to the next, </w:t>
      </w:r>
      <w:r w:rsidR="007E1843">
        <w:rPr>
          <w:sz w:val="24"/>
          <w:szCs w:val="24"/>
          <w:lang w:val="en-US"/>
        </w:rPr>
        <w:t xml:space="preserve">or </w:t>
      </w:r>
      <w:r w:rsidR="0043642A" w:rsidRPr="00F26EF7">
        <w:rPr>
          <w:sz w:val="24"/>
          <w:szCs w:val="24"/>
          <w:lang w:val="en-US"/>
        </w:rPr>
        <w:t xml:space="preserve">shifts </w:t>
      </w:r>
      <w:r w:rsidR="007E1843">
        <w:rPr>
          <w:sz w:val="24"/>
          <w:szCs w:val="24"/>
          <w:lang w:val="en-US"/>
        </w:rPr>
        <w:t xml:space="preserve">will </w:t>
      </w:r>
      <w:r w:rsidR="0043642A" w:rsidRPr="00F26EF7">
        <w:rPr>
          <w:sz w:val="24"/>
          <w:szCs w:val="24"/>
          <w:lang w:val="en-US"/>
        </w:rPr>
        <w:t xml:space="preserve">at a </w:t>
      </w:r>
      <w:r w:rsidR="007E1843">
        <w:rPr>
          <w:sz w:val="24"/>
          <w:szCs w:val="24"/>
          <w:lang w:val="en-US"/>
        </w:rPr>
        <w:t xml:space="preserve">minimum </w:t>
      </w:r>
      <w:r w:rsidR="0043642A" w:rsidRPr="00F26EF7">
        <w:rPr>
          <w:sz w:val="24"/>
          <w:szCs w:val="24"/>
          <w:lang w:val="en-US"/>
        </w:rPr>
        <w:t xml:space="preserve">entail </w:t>
      </w:r>
      <w:r w:rsidRPr="00F26EF7">
        <w:rPr>
          <w:sz w:val="24"/>
          <w:szCs w:val="24"/>
          <w:lang w:val="en-US"/>
        </w:rPr>
        <w:t xml:space="preserve">additional adjustment costs. In </w:t>
      </w:r>
      <w:r w:rsidR="00E53E70" w:rsidRPr="00F26EF7">
        <w:rPr>
          <w:sz w:val="24"/>
          <w:szCs w:val="24"/>
          <w:lang w:val="en-US"/>
        </w:rPr>
        <w:t xml:space="preserve">the </w:t>
      </w:r>
      <w:r w:rsidRPr="00F26EF7">
        <w:rPr>
          <w:sz w:val="24"/>
          <w:szCs w:val="24"/>
          <w:lang w:val="en-US"/>
        </w:rPr>
        <w:t xml:space="preserve">case of economic liberalization, </w:t>
      </w:r>
      <w:r w:rsidR="002C1507">
        <w:rPr>
          <w:sz w:val="24"/>
          <w:szCs w:val="24"/>
          <w:lang w:val="en-US"/>
        </w:rPr>
        <w:t xml:space="preserve">the </w:t>
      </w:r>
      <w:r w:rsidRPr="00F26EF7">
        <w:rPr>
          <w:sz w:val="24"/>
          <w:szCs w:val="24"/>
          <w:lang w:val="en-US"/>
        </w:rPr>
        <w:t>opponents comprise the import-competing sector, senior officials in danger of losing their power and the unions of this sector, whereas entrepreneurs in export industries (a</w:t>
      </w:r>
      <w:r w:rsidR="00B84BC9" w:rsidRPr="00F26EF7">
        <w:rPr>
          <w:sz w:val="24"/>
          <w:szCs w:val="24"/>
          <w:lang w:val="en-US"/>
        </w:rPr>
        <w:t>s well as</w:t>
      </w:r>
      <w:r w:rsidRPr="00F26EF7">
        <w:rPr>
          <w:sz w:val="24"/>
          <w:szCs w:val="24"/>
          <w:lang w:val="en-US"/>
        </w:rPr>
        <w:t xml:space="preserve"> their employees) and</w:t>
      </w:r>
      <w:r w:rsidR="00B84BC9" w:rsidRPr="00F26EF7">
        <w:rPr>
          <w:sz w:val="24"/>
          <w:szCs w:val="24"/>
          <w:lang w:val="en-US"/>
        </w:rPr>
        <w:t>,</w:t>
      </w:r>
      <w:r w:rsidRPr="00F26EF7">
        <w:rPr>
          <w:sz w:val="24"/>
          <w:szCs w:val="24"/>
          <w:lang w:val="en-US"/>
        </w:rPr>
        <w:t xml:space="preserve"> to some extent</w:t>
      </w:r>
      <w:r w:rsidR="00B84BC9" w:rsidRPr="00F26EF7">
        <w:rPr>
          <w:sz w:val="24"/>
          <w:szCs w:val="24"/>
          <w:lang w:val="en-US"/>
        </w:rPr>
        <w:t>,</w:t>
      </w:r>
      <w:r w:rsidRPr="00F26EF7">
        <w:rPr>
          <w:sz w:val="24"/>
          <w:szCs w:val="24"/>
          <w:lang w:val="en-US"/>
        </w:rPr>
        <w:t xml:space="preserve"> consumers should support these reforms (for a more detailed discussion see Schneider 2014).</w:t>
      </w:r>
      <w:r w:rsidR="005C639D" w:rsidRPr="00F26EF7">
        <w:rPr>
          <w:rStyle w:val="FootnoteReference"/>
          <w:sz w:val="24"/>
          <w:szCs w:val="24"/>
          <w:lang w:val="en-US"/>
        </w:rPr>
        <w:footnoteReference w:id="3"/>
      </w:r>
      <w:r w:rsidRPr="00F26EF7">
        <w:rPr>
          <w:sz w:val="24"/>
          <w:szCs w:val="24"/>
          <w:lang w:val="en-US"/>
        </w:rPr>
        <w:t xml:space="preserve"> These fears </w:t>
      </w:r>
      <w:r w:rsidR="002C1507">
        <w:rPr>
          <w:sz w:val="24"/>
          <w:szCs w:val="24"/>
          <w:lang w:val="en-US"/>
        </w:rPr>
        <w:t xml:space="preserve">were </w:t>
      </w:r>
      <w:r w:rsidRPr="00F26EF7">
        <w:rPr>
          <w:sz w:val="24"/>
          <w:szCs w:val="24"/>
          <w:lang w:val="en-US"/>
        </w:rPr>
        <w:t>ex</w:t>
      </w:r>
      <w:r w:rsidR="002C1507">
        <w:rPr>
          <w:sz w:val="24"/>
          <w:szCs w:val="24"/>
          <w:lang w:val="en-US"/>
        </w:rPr>
        <w:t>pressed</w:t>
      </w:r>
      <w:r w:rsidRPr="00F26EF7">
        <w:rPr>
          <w:sz w:val="24"/>
          <w:szCs w:val="24"/>
          <w:lang w:val="en-US"/>
        </w:rPr>
        <w:t xml:space="preserve"> in the early anti-austerity protests analyzed by Walton </w:t>
      </w:r>
      <w:r w:rsidR="009F4395" w:rsidRPr="00F26EF7">
        <w:rPr>
          <w:sz w:val="24"/>
          <w:szCs w:val="24"/>
          <w:lang w:val="en-US"/>
        </w:rPr>
        <w:t xml:space="preserve">and Seddon (1994:49–50), where </w:t>
      </w:r>
      <w:r w:rsidRPr="00F26EF7">
        <w:rPr>
          <w:sz w:val="24"/>
          <w:szCs w:val="24"/>
          <w:lang w:val="en-US"/>
        </w:rPr>
        <w:t xml:space="preserve">‘‘[c]rowds from Rio to Rabat </w:t>
      </w:r>
      <w:r w:rsidRPr="00F26EF7">
        <w:rPr>
          <w:sz w:val="24"/>
          <w:szCs w:val="24"/>
          <w:lang w:val="en-US"/>
        </w:rPr>
        <w:lastRenderedPageBreak/>
        <w:t xml:space="preserve">crying ‘Out with the IMF!’ demanded a restoration of food and transportation subsidies, employment, and wages commensurate with inflation.’’ </w:t>
      </w:r>
    </w:p>
    <w:p w14:paraId="4ACD63A9" w14:textId="43BED67E" w:rsidR="00F405BC" w:rsidRPr="00F26EF7" w:rsidRDefault="00D4646A">
      <w:pPr>
        <w:rPr>
          <w:sz w:val="24"/>
          <w:szCs w:val="24"/>
          <w:lang w:val="en-US"/>
        </w:rPr>
      </w:pPr>
      <w:r w:rsidRPr="00F26EF7">
        <w:rPr>
          <w:sz w:val="24"/>
          <w:szCs w:val="24"/>
          <w:lang w:val="en-US"/>
        </w:rPr>
        <w:t xml:space="preserve">The conjecture that IMF programs mobilize potential losers of the </w:t>
      </w:r>
      <w:r w:rsidR="00810CED">
        <w:rPr>
          <w:sz w:val="24"/>
          <w:szCs w:val="24"/>
          <w:lang w:val="en-US"/>
        </w:rPr>
        <w:t xml:space="preserve">reforms </w:t>
      </w:r>
      <w:r w:rsidR="00421B8E" w:rsidRPr="00F26EF7">
        <w:rPr>
          <w:sz w:val="24"/>
          <w:szCs w:val="24"/>
          <w:lang w:val="en-US"/>
        </w:rPr>
        <w:t xml:space="preserve">has found some </w:t>
      </w:r>
      <w:r w:rsidRPr="00F26EF7">
        <w:rPr>
          <w:sz w:val="24"/>
          <w:szCs w:val="24"/>
          <w:lang w:val="en-US"/>
        </w:rPr>
        <w:t>support</w:t>
      </w:r>
      <w:r w:rsidR="00421B8E" w:rsidRPr="00F26EF7">
        <w:rPr>
          <w:sz w:val="24"/>
          <w:szCs w:val="24"/>
          <w:lang w:val="en-US"/>
        </w:rPr>
        <w:t xml:space="preserve"> in empirical studies</w:t>
      </w:r>
      <w:r w:rsidRPr="00F26EF7">
        <w:rPr>
          <w:sz w:val="24"/>
          <w:szCs w:val="24"/>
          <w:lang w:val="en-US"/>
        </w:rPr>
        <w:t xml:space="preserve">, but </w:t>
      </w:r>
      <w:r w:rsidR="00421B8E" w:rsidRPr="00F26EF7">
        <w:rPr>
          <w:sz w:val="24"/>
          <w:szCs w:val="24"/>
          <w:lang w:val="en-US"/>
        </w:rPr>
        <w:t>the results seem</w:t>
      </w:r>
      <w:r w:rsidR="001F1D08">
        <w:rPr>
          <w:sz w:val="24"/>
          <w:szCs w:val="24"/>
          <w:lang w:val="en-US"/>
        </w:rPr>
        <w:t xml:space="preserve"> to depend on the measure</w:t>
      </w:r>
      <w:r w:rsidRPr="00F26EF7">
        <w:rPr>
          <w:sz w:val="24"/>
          <w:szCs w:val="24"/>
          <w:lang w:val="en-US"/>
        </w:rPr>
        <w:t xml:space="preserve"> of mobilization. </w:t>
      </w:r>
      <w:r w:rsidR="001F1D08">
        <w:rPr>
          <w:sz w:val="24"/>
          <w:szCs w:val="24"/>
          <w:lang w:val="en-US"/>
        </w:rPr>
        <w:t xml:space="preserve">Looking at </w:t>
      </w:r>
      <w:r w:rsidRPr="00F26EF7">
        <w:rPr>
          <w:sz w:val="24"/>
          <w:szCs w:val="24"/>
          <w:lang w:val="en-US"/>
        </w:rPr>
        <w:t>evidence from twenty-three African and seven Latin American countries, Morrison (1996) shows that adjustment programs can be politically dangerous. However, he concludes that reactions to reforms depend on the specific measure implemented, and observes an average delay of three to six months between the announcement of a measure and a response in the form of demonstrations, strikes or protest</w:t>
      </w:r>
      <w:r w:rsidR="000D6E35" w:rsidRPr="00F26EF7">
        <w:rPr>
          <w:sz w:val="24"/>
          <w:szCs w:val="24"/>
          <w:lang w:val="en-US"/>
        </w:rPr>
        <w:t>s</w:t>
      </w:r>
      <w:r w:rsidRPr="00F26EF7">
        <w:rPr>
          <w:sz w:val="24"/>
          <w:szCs w:val="24"/>
          <w:lang w:val="en-US"/>
        </w:rPr>
        <w:t xml:space="preserve"> to it. In another early study, Auvinen (1996) finds mixed support for the thesis that the politics of conditionality trigger mass protests. </w:t>
      </w:r>
    </w:p>
    <w:p w14:paraId="44752210" w14:textId="6556BD36" w:rsidR="00F405BC" w:rsidRPr="00F26EF7" w:rsidRDefault="00D4646A">
      <w:pPr>
        <w:rPr>
          <w:lang w:val="en-US"/>
        </w:rPr>
      </w:pPr>
      <w:r w:rsidRPr="00F26EF7">
        <w:rPr>
          <w:sz w:val="24"/>
          <w:szCs w:val="24"/>
          <w:lang w:val="en-US"/>
        </w:rPr>
        <w:t>Some studies have link</w:t>
      </w:r>
      <w:r w:rsidR="003C6D4E">
        <w:rPr>
          <w:sz w:val="24"/>
          <w:szCs w:val="24"/>
          <w:lang w:val="en-US"/>
        </w:rPr>
        <w:t>ed</w:t>
      </w:r>
      <w:r w:rsidRPr="00F26EF7">
        <w:rPr>
          <w:sz w:val="24"/>
          <w:szCs w:val="24"/>
          <w:lang w:val="en-US"/>
        </w:rPr>
        <w:t xml:space="preserve"> austerity measures and IMF programs to other forms of social mobilization. Bussmann and Schneider (2007) associate increases in foreign economic </w:t>
      </w:r>
      <w:r w:rsidR="00F81EF0" w:rsidRPr="00F26EF7">
        <w:rPr>
          <w:sz w:val="24"/>
          <w:szCs w:val="24"/>
          <w:lang w:val="en-US"/>
        </w:rPr>
        <w:t>openness –</w:t>
      </w:r>
      <w:r w:rsidRPr="00F26EF7">
        <w:rPr>
          <w:sz w:val="24"/>
          <w:szCs w:val="24"/>
          <w:lang w:val="en-US"/>
        </w:rPr>
        <w:t xml:space="preserve"> one of the standard recommendations associated with the Washington Consensus – with a growing risk o</w:t>
      </w:r>
      <w:r w:rsidR="008F552B" w:rsidRPr="00F26EF7">
        <w:rPr>
          <w:sz w:val="24"/>
          <w:szCs w:val="24"/>
          <w:lang w:val="en-US"/>
        </w:rPr>
        <w:t xml:space="preserve">f civil war. Magee and Masdoud </w:t>
      </w:r>
      <w:r w:rsidRPr="00F26EF7">
        <w:rPr>
          <w:sz w:val="24"/>
          <w:szCs w:val="24"/>
          <w:lang w:val="en-US"/>
        </w:rPr>
        <w:t xml:space="preserve">(2011) see this danger </w:t>
      </w:r>
      <w:r w:rsidR="00EA4357" w:rsidRPr="00F26EF7">
        <w:rPr>
          <w:sz w:val="24"/>
          <w:szCs w:val="24"/>
          <w:lang w:val="en-US"/>
        </w:rPr>
        <w:t xml:space="preserve">as </w:t>
      </w:r>
      <w:r w:rsidRPr="00F26EF7">
        <w:rPr>
          <w:sz w:val="24"/>
          <w:szCs w:val="24"/>
          <w:lang w:val="en-US"/>
        </w:rPr>
        <w:t>loom</w:t>
      </w:r>
      <w:r w:rsidR="00EA4357" w:rsidRPr="00F26EF7">
        <w:rPr>
          <w:sz w:val="24"/>
          <w:szCs w:val="24"/>
          <w:lang w:val="en-US"/>
        </w:rPr>
        <w:t>ing the</w:t>
      </w:r>
      <w:r w:rsidRPr="00F26EF7">
        <w:rPr>
          <w:sz w:val="24"/>
          <w:szCs w:val="24"/>
          <w:lang w:val="en-US"/>
        </w:rPr>
        <w:t xml:space="preserve"> largest some years before the economic reforms reach their maximal level. Hartzell, Hoddie and Bauer (2010) </w:t>
      </w:r>
      <w:r w:rsidR="001F1D08">
        <w:rPr>
          <w:sz w:val="24"/>
          <w:szCs w:val="24"/>
          <w:lang w:val="en-US"/>
        </w:rPr>
        <w:t>suggest</w:t>
      </w:r>
      <w:r w:rsidR="00A91FF2" w:rsidRPr="00F26EF7">
        <w:rPr>
          <w:sz w:val="24"/>
          <w:szCs w:val="24"/>
          <w:lang w:val="en-US"/>
        </w:rPr>
        <w:t xml:space="preserve"> </w:t>
      </w:r>
      <w:r w:rsidRPr="00F26EF7">
        <w:rPr>
          <w:sz w:val="24"/>
          <w:szCs w:val="24"/>
          <w:lang w:val="en-US"/>
        </w:rPr>
        <w:t xml:space="preserve">that the IMF-path to liberalization increases the risk of civil war. Midtgård, Vadlamannati and de Soysa (2013), </w:t>
      </w:r>
      <w:r w:rsidR="008F552B" w:rsidRPr="00F26EF7">
        <w:rPr>
          <w:sz w:val="24"/>
          <w:szCs w:val="24"/>
          <w:lang w:val="en-US"/>
        </w:rPr>
        <w:t xml:space="preserve">conversely, </w:t>
      </w:r>
      <w:r w:rsidR="001F1D08">
        <w:rPr>
          <w:sz w:val="24"/>
          <w:szCs w:val="24"/>
          <w:lang w:val="en-US"/>
        </w:rPr>
        <w:t xml:space="preserve">demonstrate that </w:t>
      </w:r>
      <w:r w:rsidR="008F552B" w:rsidRPr="00F26EF7">
        <w:rPr>
          <w:sz w:val="24"/>
          <w:szCs w:val="24"/>
          <w:lang w:val="en-US"/>
        </w:rPr>
        <w:t xml:space="preserve">this </w:t>
      </w:r>
      <w:r w:rsidR="001F1D08">
        <w:rPr>
          <w:sz w:val="24"/>
          <w:szCs w:val="24"/>
          <w:lang w:val="en-US"/>
        </w:rPr>
        <w:t xml:space="preserve">finding only holds </w:t>
      </w:r>
      <w:r w:rsidR="008F552B" w:rsidRPr="00F26EF7">
        <w:rPr>
          <w:sz w:val="24"/>
          <w:szCs w:val="24"/>
          <w:lang w:val="en-US"/>
        </w:rPr>
        <w:t>when imposing a</w:t>
      </w:r>
      <w:r w:rsidRPr="00F26EF7">
        <w:rPr>
          <w:sz w:val="24"/>
          <w:szCs w:val="24"/>
          <w:lang w:val="en-US"/>
        </w:rPr>
        <w:t xml:space="preserve"> high conflict threshold and </w:t>
      </w:r>
      <w:r w:rsidR="008F552B" w:rsidRPr="00F26EF7">
        <w:rPr>
          <w:sz w:val="24"/>
          <w:szCs w:val="24"/>
          <w:lang w:val="en-US"/>
        </w:rPr>
        <w:t xml:space="preserve">using </w:t>
      </w:r>
      <w:r w:rsidRPr="00F26EF7">
        <w:rPr>
          <w:sz w:val="24"/>
          <w:szCs w:val="24"/>
          <w:lang w:val="en-US"/>
        </w:rPr>
        <w:t>specific criteria for IMF involvement</w:t>
      </w:r>
      <w:r w:rsidR="001F1D08">
        <w:rPr>
          <w:sz w:val="24"/>
          <w:szCs w:val="24"/>
          <w:lang w:val="en-US"/>
        </w:rPr>
        <w:t xml:space="preserve">, and argue that </w:t>
      </w:r>
      <w:r w:rsidRPr="00F26EF7">
        <w:rPr>
          <w:sz w:val="24"/>
          <w:szCs w:val="24"/>
          <w:lang w:val="en-US"/>
        </w:rPr>
        <w:t>IMF programs appear to reduce the risk of lower-scale conflicts. Casper (2017) establishes a positive link between participation in IMF programs and the risk of coups d’état, while Dreher and Gassebner (2012) demonstrate that that the association between IMF presence and government crises vanishes once one considers the endogeneity of lending arrangements</w:t>
      </w:r>
      <w:r w:rsidR="00F81EF0" w:rsidRPr="00F26EF7">
        <w:rPr>
          <w:sz w:val="24"/>
          <w:szCs w:val="24"/>
          <w:lang w:val="en-US"/>
        </w:rPr>
        <w:t>.</w:t>
      </w:r>
      <w:r w:rsidR="00D53CF4">
        <w:rPr>
          <w:rStyle w:val="FootnoteReference"/>
          <w:sz w:val="24"/>
          <w:szCs w:val="24"/>
          <w:lang w:val="en-US"/>
        </w:rPr>
        <w:footnoteReference w:id="4"/>
      </w:r>
      <w:r w:rsidR="005D7211">
        <w:rPr>
          <w:sz w:val="24"/>
          <w:szCs w:val="24"/>
          <w:lang w:val="en-US"/>
        </w:rPr>
        <w:t xml:space="preserve"> Papi, Pres</w:t>
      </w:r>
      <w:r w:rsidR="00CC3497">
        <w:rPr>
          <w:sz w:val="24"/>
          <w:szCs w:val="24"/>
          <w:lang w:val="en-US"/>
        </w:rPr>
        <w:t>b</w:t>
      </w:r>
      <w:r w:rsidR="005D7211">
        <w:rPr>
          <w:sz w:val="24"/>
          <w:szCs w:val="24"/>
          <w:lang w:val="en-US"/>
        </w:rPr>
        <w:t xml:space="preserve">itero and Zazzaro </w:t>
      </w:r>
      <w:r w:rsidR="00CC3497">
        <w:rPr>
          <w:sz w:val="24"/>
          <w:szCs w:val="24"/>
          <w:lang w:val="en-US"/>
        </w:rPr>
        <w:t xml:space="preserve">(2015) </w:t>
      </w:r>
      <w:r w:rsidR="005D7211">
        <w:rPr>
          <w:sz w:val="24"/>
          <w:szCs w:val="24"/>
          <w:lang w:val="en-US"/>
        </w:rPr>
        <w:t>show that borrowing countries can reduce the risk of a banking crisis in comparison to states that do not receive IMF loans.</w:t>
      </w:r>
    </w:p>
    <w:p w14:paraId="5CA88738" w14:textId="7D26853F" w:rsidR="00F405BC" w:rsidRPr="00F26EF7" w:rsidRDefault="00D4646A">
      <w:pPr>
        <w:rPr>
          <w:sz w:val="24"/>
          <w:szCs w:val="24"/>
          <w:lang w:val="en-US"/>
        </w:rPr>
      </w:pPr>
      <w:r w:rsidRPr="00F26EF7">
        <w:rPr>
          <w:sz w:val="24"/>
          <w:szCs w:val="24"/>
          <w:lang w:val="en-US"/>
        </w:rPr>
        <w:lastRenderedPageBreak/>
        <w:t xml:space="preserve">As governments </w:t>
      </w:r>
      <w:r w:rsidR="00F8195F">
        <w:rPr>
          <w:sz w:val="24"/>
          <w:szCs w:val="24"/>
          <w:lang w:val="en-US"/>
        </w:rPr>
        <w:t xml:space="preserve">only </w:t>
      </w:r>
      <w:r w:rsidRPr="00F26EF7">
        <w:rPr>
          <w:sz w:val="24"/>
          <w:szCs w:val="24"/>
          <w:lang w:val="en-US"/>
        </w:rPr>
        <w:t xml:space="preserve">call upon the IMF and possibly agree on its lending terms when </w:t>
      </w:r>
      <w:r w:rsidR="00F8195F">
        <w:rPr>
          <w:sz w:val="24"/>
          <w:szCs w:val="24"/>
          <w:lang w:val="en-US"/>
        </w:rPr>
        <w:t xml:space="preserve">they have </w:t>
      </w:r>
      <w:r w:rsidRPr="00F26EF7">
        <w:rPr>
          <w:sz w:val="24"/>
          <w:szCs w:val="24"/>
          <w:lang w:val="en-US"/>
        </w:rPr>
        <w:t xml:space="preserve">an urgent economic need to do so, tests of the linkage between crises, austerity programs and social protests </w:t>
      </w:r>
      <w:r w:rsidR="00F8195F">
        <w:rPr>
          <w:sz w:val="24"/>
          <w:szCs w:val="24"/>
          <w:lang w:val="en-US"/>
        </w:rPr>
        <w:t xml:space="preserve">must </w:t>
      </w:r>
      <w:r w:rsidRPr="00F26EF7">
        <w:rPr>
          <w:sz w:val="24"/>
          <w:szCs w:val="24"/>
          <w:lang w:val="en-US"/>
        </w:rPr>
        <w:t xml:space="preserve">consider the endogeneity of IMF programs. We also believe that it is necessary to differentiate between different forms of social mobilization and that the possible impact of IMF programs might be biased downwards because of a temporal over-aggregation. The next section details how we address these </w:t>
      </w:r>
      <w:r w:rsidR="00572705" w:rsidRPr="00F26EF7">
        <w:rPr>
          <w:sz w:val="24"/>
          <w:szCs w:val="24"/>
          <w:lang w:val="en-US"/>
        </w:rPr>
        <w:t xml:space="preserve">methodological </w:t>
      </w:r>
      <w:r w:rsidRPr="00F26EF7">
        <w:rPr>
          <w:sz w:val="24"/>
          <w:szCs w:val="24"/>
          <w:lang w:val="en-US"/>
        </w:rPr>
        <w:t xml:space="preserve">challenges. </w:t>
      </w:r>
    </w:p>
    <w:p w14:paraId="632B78EA" w14:textId="77777777" w:rsidR="00281D5D" w:rsidRPr="00F26EF7" w:rsidRDefault="00281D5D" w:rsidP="00856037">
      <w:pPr>
        <w:outlineLvl w:val="0"/>
        <w:rPr>
          <w:b/>
          <w:sz w:val="24"/>
          <w:szCs w:val="24"/>
          <w:lang w:val="en-US"/>
        </w:rPr>
      </w:pPr>
    </w:p>
    <w:p w14:paraId="7E94BAE3" w14:textId="77777777" w:rsidR="00F405BC" w:rsidRPr="00F26EF7" w:rsidRDefault="00D4646A" w:rsidP="00856037">
      <w:pPr>
        <w:outlineLvl w:val="0"/>
        <w:rPr>
          <w:b/>
          <w:sz w:val="24"/>
          <w:szCs w:val="24"/>
          <w:lang w:val="en-US"/>
        </w:rPr>
      </w:pPr>
      <w:r w:rsidRPr="00F26EF7">
        <w:rPr>
          <w:b/>
          <w:sz w:val="24"/>
          <w:szCs w:val="24"/>
          <w:lang w:val="en-US"/>
        </w:rPr>
        <w:t>Data and Research Design</w:t>
      </w:r>
    </w:p>
    <w:p w14:paraId="760D8988" w14:textId="77777777" w:rsidR="00281D5D" w:rsidRPr="00F26EF7" w:rsidRDefault="00281D5D">
      <w:pPr>
        <w:rPr>
          <w:i/>
          <w:sz w:val="24"/>
          <w:szCs w:val="24"/>
          <w:lang w:val="en-US"/>
        </w:rPr>
      </w:pPr>
      <w:r w:rsidRPr="00F26EF7">
        <w:rPr>
          <w:i/>
          <w:sz w:val="24"/>
          <w:szCs w:val="24"/>
          <w:lang w:val="en-US"/>
        </w:rPr>
        <w:t>Data</w:t>
      </w:r>
    </w:p>
    <w:p w14:paraId="6D9CFC6A" w14:textId="5A31A96E" w:rsidR="00F405BC" w:rsidRPr="00F26EF7" w:rsidRDefault="00D4646A">
      <w:pPr>
        <w:rPr>
          <w:sz w:val="24"/>
          <w:szCs w:val="24"/>
          <w:lang w:val="en-US"/>
        </w:rPr>
      </w:pPr>
      <w:r w:rsidRPr="00F26EF7">
        <w:rPr>
          <w:sz w:val="24"/>
          <w:szCs w:val="24"/>
          <w:lang w:val="en-US"/>
        </w:rPr>
        <w:t xml:space="preserve">We construct a quarterly global data set with indicators of protest, violent </w:t>
      </w:r>
      <w:r w:rsidR="00281D5D" w:rsidRPr="00F26EF7">
        <w:rPr>
          <w:sz w:val="24"/>
          <w:szCs w:val="24"/>
          <w:lang w:val="en-US"/>
        </w:rPr>
        <w:t xml:space="preserve">conflict </w:t>
      </w:r>
      <w:r w:rsidRPr="00F26EF7">
        <w:rPr>
          <w:sz w:val="24"/>
          <w:szCs w:val="24"/>
          <w:lang w:val="en-US"/>
        </w:rPr>
        <w:t xml:space="preserve">events, and IMF programs and their conditionality, ranging from the first quarter in </w:t>
      </w:r>
      <w:r w:rsidR="004D0D4C" w:rsidRPr="00F26EF7">
        <w:rPr>
          <w:sz w:val="24"/>
          <w:szCs w:val="24"/>
          <w:lang w:val="en-US"/>
        </w:rPr>
        <w:t xml:space="preserve">2001 </w:t>
      </w:r>
      <w:r w:rsidRPr="00F26EF7">
        <w:rPr>
          <w:sz w:val="24"/>
          <w:szCs w:val="24"/>
          <w:lang w:val="en-US"/>
        </w:rPr>
        <w:t xml:space="preserve">through 2015. The </w:t>
      </w:r>
      <w:r w:rsidR="006F1FA1" w:rsidRPr="00F26EF7">
        <w:rPr>
          <w:sz w:val="24"/>
          <w:szCs w:val="24"/>
          <w:lang w:val="en-US"/>
        </w:rPr>
        <w:t xml:space="preserve">beginning of the </w:t>
      </w:r>
      <w:r w:rsidRPr="00F26EF7">
        <w:rPr>
          <w:sz w:val="24"/>
          <w:szCs w:val="24"/>
          <w:lang w:val="en-US"/>
        </w:rPr>
        <w:t xml:space="preserve">temporal domain is limited by the availability of the event data that we use for measuring protest, </w:t>
      </w:r>
      <w:r w:rsidR="006F1FA1" w:rsidRPr="00F26EF7">
        <w:rPr>
          <w:sz w:val="24"/>
          <w:szCs w:val="24"/>
          <w:lang w:val="en-US"/>
        </w:rPr>
        <w:t xml:space="preserve">namely </w:t>
      </w:r>
      <w:r w:rsidRPr="00F26EF7">
        <w:rPr>
          <w:sz w:val="24"/>
          <w:szCs w:val="24"/>
          <w:lang w:val="en-US"/>
        </w:rPr>
        <w:t xml:space="preserve">the Integrated Conflict Early Warning System (ICEWS) event data, </w:t>
      </w:r>
      <w:r w:rsidR="006C2B8E" w:rsidRPr="00F26EF7">
        <w:rPr>
          <w:sz w:val="24"/>
          <w:szCs w:val="24"/>
          <w:lang w:val="en-US"/>
        </w:rPr>
        <w:t>machine coded from news media report</w:t>
      </w:r>
      <w:r w:rsidR="00125E15">
        <w:rPr>
          <w:sz w:val="24"/>
          <w:szCs w:val="24"/>
          <w:lang w:val="en-US"/>
        </w:rPr>
        <w:t xml:space="preserve">, </w:t>
      </w:r>
      <w:r w:rsidRPr="00F26EF7">
        <w:rPr>
          <w:sz w:val="24"/>
          <w:szCs w:val="24"/>
          <w:lang w:val="en-US"/>
        </w:rPr>
        <w:t xml:space="preserve">developed </w:t>
      </w:r>
      <w:r w:rsidR="00794C17">
        <w:rPr>
          <w:sz w:val="24"/>
          <w:szCs w:val="24"/>
          <w:lang w:val="en-US"/>
        </w:rPr>
        <w:t xml:space="preserve">for the US Political Instability Task Force </w:t>
      </w:r>
      <w:r w:rsidRPr="00F26EF7">
        <w:rPr>
          <w:sz w:val="24"/>
          <w:szCs w:val="24"/>
          <w:lang w:val="en-US"/>
        </w:rPr>
        <w:t>(Boschee et al. 2015).</w:t>
      </w:r>
      <w:r w:rsidR="001F5845" w:rsidRPr="00F26EF7">
        <w:rPr>
          <w:rStyle w:val="FootnoteReference"/>
          <w:sz w:val="24"/>
          <w:szCs w:val="24"/>
          <w:lang w:val="en-US"/>
        </w:rPr>
        <w:footnoteReference w:id="5"/>
      </w:r>
      <w:r w:rsidRPr="00F26EF7">
        <w:rPr>
          <w:sz w:val="24"/>
          <w:szCs w:val="24"/>
          <w:lang w:val="en-US"/>
        </w:rPr>
        <w:t xml:space="preserve"> ICEWS does not include domestic events for the USA, due to US </w:t>
      </w:r>
      <w:r w:rsidR="001E467F" w:rsidRPr="00F26EF7">
        <w:rPr>
          <w:sz w:val="24"/>
          <w:szCs w:val="24"/>
          <w:lang w:val="en-US"/>
        </w:rPr>
        <w:t xml:space="preserve">federal government </w:t>
      </w:r>
      <w:r w:rsidRPr="00F26EF7">
        <w:rPr>
          <w:sz w:val="24"/>
          <w:szCs w:val="24"/>
          <w:lang w:val="en-US"/>
        </w:rPr>
        <w:t xml:space="preserve">restrictions on funding for research with potential impact on domestic affairs. The raw ICEWS data contain information on individual events, identifying actors and targets, </w:t>
      </w:r>
      <w:r w:rsidR="006C2B8E" w:rsidRPr="00F26EF7">
        <w:rPr>
          <w:sz w:val="24"/>
          <w:szCs w:val="24"/>
          <w:lang w:val="en-US"/>
        </w:rPr>
        <w:t xml:space="preserve">specific </w:t>
      </w:r>
      <w:r w:rsidRPr="00F26EF7">
        <w:rPr>
          <w:sz w:val="24"/>
          <w:szCs w:val="24"/>
          <w:lang w:val="en-US"/>
        </w:rPr>
        <w:t xml:space="preserve">types of events, </w:t>
      </w:r>
      <w:r w:rsidR="006C2B8E" w:rsidRPr="00F26EF7">
        <w:rPr>
          <w:sz w:val="24"/>
          <w:szCs w:val="24"/>
          <w:lang w:val="en-US"/>
        </w:rPr>
        <w:t xml:space="preserve">as well as </w:t>
      </w:r>
      <w:r w:rsidRPr="00F26EF7">
        <w:rPr>
          <w:sz w:val="24"/>
          <w:szCs w:val="24"/>
          <w:lang w:val="en-US"/>
        </w:rPr>
        <w:t xml:space="preserve">the date where the </w:t>
      </w:r>
      <w:r w:rsidR="006C2B8E" w:rsidRPr="00F26EF7">
        <w:rPr>
          <w:sz w:val="24"/>
          <w:szCs w:val="24"/>
          <w:lang w:val="en-US"/>
        </w:rPr>
        <w:t xml:space="preserve">reported </w:t>
      </w:r>
      <w:r w:rsidRPr="00F26EF7">
        <w:rPr>
          <w:sz w:val="24"/>
          <w:szCs w:val="24"/>
          <w:lang w:val="en-US"/>
        </w:rPr>
        <w:t>event is deemed to have taken place.</w:t>
      </w:r>
      <w:r w:rsidR="004E4A62">
        <w:rPr>
          <w:sz w:val="24"/>
          <w:szCs w:val="24"/>
          <w:lang w:val="en-US"/>
        </w:rPr>
        <w:t xml:space="preserve"> </w:t>
      </w:r>
      <w:r w:rsidRPr="00F26EF7">
        <w:rPr>
          <w:sz w:val="24"/>
          <w:szCs w:val="24"/>
          <w:lang w:val="en-US"/>
        </w:rPr>
        <w:t xml:space="preserve">We </w:t>
      </w:r>
      <w:r w:rsidR="004E4A62">
        <w:rPr>
          <w:sz w:val="24"/>
          <w:szCs w:val="24"/>
          <w:lang w:val="en-US"/>
        </w:rPr>
        <w:t xml:space="preserve">consider only </w:t>
      </w:r>
      <w:r w:rsidRPr="00F26EF7">
        <w:rPr>
          <w:sz w:val="24"/>
          <w:szCs w:val="24"/>
          <w:lang w:val="en-US"/>
        </w:rPr>
        <w:t>domestic events (i.e., actor and tar</w:t>
      </w:r>
      <w:r w:rsidR="004B3916">
        <w:rPr>
          <w:sz w:val="24"/>
          <w:szCs w:val="24"/>
          <w:lang w:val="en-US"/>
        </w:rPr>
        <w:t>get are in the same country)</w:t>
      </w:r>
      <w:r w:rsidRPr="00F26EF7">
        <w:rPr>
          <w:sz w:val="24"/>
          <w:szCs w:val="24"/>
          <w:lang w:val="en-US"/>
        </w:rPr>
        <w:t xml:space="preserve"> with WEIS/CAMEO codes starting with 14XX (see Schrodt 2011: 66-72 for a description of the different types of events included).  </w:t>
      </w:r>
    </w:p>
    <w:p w14:paraId="3A8C4D5E" w14:textId="258F53AA" w:rsidR="00F405BC" w:rsidRPr="00F26EF7" w:rsidRDefault="004B3916">
      <w:pPr>
        <w:rPr>
          <w:lang w:val="en-US"/>
        </w:rPr>
      </w:pPr>
      <w:r>
        <w:rPr>
          <w:sz w:val="24"/>
          <w:szCs w:val="24"/>
          <w:lang w:val="en-US"/>
        </w:rPr>
        <w:lastRenderedPageBreak/>
        <w:t xml:space="preserve">We extract </w:t>
      </w:r>
      <w:r w:rsidR="00D4646A" w:rsidRPr="00F26EF7">
        <w:rPr>
          <w:sz w:val="24"/>
          <w:szCs w:val="24"/>
          <w:lang w:val="en-US"/>
        </w:rPr>
        <w:t xml:space="preserve">violent </w:t>
      </w:r>
      <w:r w:rsidR="00466015" w:rsidRPr="00F26EF7">
        <w:rPr>
          <w:sz w:val="24"/>
          <w:szCs w:val="24"/>
          <w:lang w:val="en-US"/>
        </w:rPr>
        <w:t>events</w:t>
      </w:r>
      <w:r>
        <w:rPr>
          <w:sz w:val="24"/>
          <w:szCs w:val="24"/>
          <w:lang w:val="en-US"/>
        </w:rPr>
        <w:t xml:space="preserve"> from </w:t>
      </w:r>
      <w:r w:rsidR="00D4646A" w:rsidRPr="00F26EF7">
        <w:rPr>
          <w:sz w:val="24"/>
          <w:szCs w:val="24"/>
          <w:lang w:val="en-US"/>
        </w:rPr>
        <w:t>the Uppsala Conflict Data Program’s Georeferenced Event Dataset</w:t>
      </w:r>
      <w:r w:rsidR="006C2B8E" w:rsidRPr="00F26EF7">
        <w:rPr>
          <w:sz w:val="24"/>
          <w:szCs w:val="24"/>
          <w:lang w:val="en-US"/>
        </w:rPr>
        <w:t xml:space="preserve"> (see Sundberg and Melander 2013)</w:t>
      </w:r>
      <w:r w:rsidR="00D4646A" w:rsidRPr="00F26EF7">
        <w:rPr>
          <w:sz w:val="24"/>
          <w:szCs w:val="24"/>
          <w:lang w:val="en-US"/>
        </w:rPr>
        <w:t xml:space="preserve">. These events also indicate sender and targets, types of violence (i.e. state-based conflict, non-state conflict, or one-sided violence) as well as the start and end date of episodes. We </w:t>
      </w:r>
      <w:r w:rsidR="00C20E86">
        <w:rPr>
          <w:sz w:val="24"/>
          <w:szCs w:val="24"/>
          <w:lang w:val="en-US"/>
        </w:rPr>
        <w:t xml:space="preserve">consider </w:t>
      </w:r>
      <w:r w:rsidR="00D4646A" w:rsidRPr="00F26EF7">
        <w:rPr>
          <w:sz w:val="24"/>
          <w:szCs w:val="24"/>
          <w:lang w:val="en-US"/>
        </w:rPr>
        <w:t xml:space="preserve">all ongoing </w:t>
      </w:r>
      <w:r w:rsidR="00C20E86">
        <w:rPr>
          <w:sz w:val="24"/>
          <w:szCs w:val="24"/>
          <w:lang w:val="en-US"/>
        </w:rPr>
        <w:t xml:space="preserve">domestic violent events in a quarter, but </w:t>
      </w:r>
      <w:r w:rsidR="00D4646A" w:rsidRPr="00F26EF7">
        <w:rPr>
          <w:sz w:val="24"/>
          <w:szCs w:val="24"/>
          <w:lang w:val="en-US"/>
        </w:rPr>
        <w:t xml:space="preserve">do not include interstate violence or events that take place outside the territory of a state. </w:t>
      </w:r>
    </w:p>
    <w:p w14:paraId="3380E77D" w14:textId="4F51212C" w:rsidR="00F405BC" w:rsidRPr="00F26EF7" w:rsidRDefault="00D4646A">
      <w:pPr>
        <w:rPr>
          <w:sz w:val="24"/>
          <w:szCs w:val="24"/>
          <w:lang w:val="en-US"/>
        </w:rPr>
      </w:pPr>
      <w:r w:rsidRPr="00F26EF7">
        <w:rPr>
          <w:sz w:val="24"/>
          <w:szCs w:val="24"/>
          <w:lang w:val="en-US"/>
        </w:rPr>
        <w:t xml:space="preserve">Since we use quarterly data it is more informative to consider the </w:t>
      </w:r>
      <w:r w:rsidR="00C20E86">
        <w:rPr>
          <w:sz w:val="24"/>
          <w:szCs w:val="24"/>
          <w:lang w:val="en-US"/>
        </w:rPr>
        <w:t>absence/</w:t>
      </w:r>
      <w:r w:rsidRPr="00F26EF7">
        <w:rPr>
          <w:sz w:val="24"/>
          <w:szCs w:val="24"/>
          <w:lang w:val="en-US"/>
        </w:rPr>
        <w:t xml:space="preserve">presence of protest events rather than </w:t>
      </w:r>
      <w:r w:rsidR="00C20E86">
        <w:rPr>
          <w:sz w:val="24"/>
          <w:szCs w:val="24"/>
          <w:lang w:val="en-US"/>
        </w:rPr>
        <w:t>counts of events</w:t>
      </w:r>
      <w:r w:rsidRPr="00F26EF7">
        <w:rPr>
          <w:sz w:val="24"/>
          <w:szCs w:val="24"/>
          <w:lang w:val="en-US"/>
        </w:rPr>
        <w:t xml:space="preserve">. Biggs (2017) points out </w:t>
      </w:r>
      <w:r w:rsidR="000E69BB">
        <w:rPr>
          <w:sz w:val="24"/>
          <w:szCs w:val="24"/>
          <w:lang w:val="en-US"/>
        </w:rPr>
        <w:t xml:space="preserve">that most </w:t>
      </w:r>
      <w:r w:rsidRPr="00F26EF7">
        <w:rPr>
          <w:sz w:val="24"/>
          <w:szCs w:val="24"/>
          <w:lang w:val="en-US"/>
        </w:rPr>
        <w:t xml:space="preserve">arguments on protest intensity pertain to </w:t>
      </w:r>
      <w:r w:rsidR="00C20E86">
        <w:rPr>
          <w:sz w:val="24"/>
          <w:szCs w:val="24"/>
          <w:lang w:val="en-US"/>
        </w:rPr>
        <w:t xml:space="preserve">size in terms of </w:t>
      </w:r>
      <w:r w:rsidR="000E69BB">
        <w:rPr>
          <w:sz w:val="24"/>
          <w:szCs w:val="24"/>
          <w:lang w:val="en-US"/>
        </w:rPr>
        <w:t xml:space="preserve">the </w:t>
      </w:r>
      <w:r w:rsidRPr="00F26EF7">
        <w:rPr>
          <w:sz w:val="24"/>
          <w:szCs w:val="24"/>
          <w:lang w:val="en-US"/>
        </w:rPr>
        <w:t xml:space="preserve">numbers mobilized rather than the number of reported events. </w:t>
      </w:r>
      <w:r w:rsidR="00AB30B7">
        <w:rPr>
          <w:sz w:val="24"/>
          <w:szCs w:val="24"/>
          <w:lang w:val="en-US"/>
        </w:rPr>
        <w:t>C</w:t>
      </w:r>
      <w:r w:rsidRPr="00F26EF7">
        <w:rPr>
          <w:sz w:val="24"/>
          <w:szCs w:val="24"/>
          <w:lang w:val="en-US"/>
        </w:rPr>
        <w:t xml:space="preserve">ount of events </w:t>
      </w:r>
      <w:r w:rsidR="00AB30B7">
        <w:rPr>
          <w:sz w:val="24"/>
          <w:szCs w:val="24"/>
          <w:lang w:val="en-US"/>
        </w:rPr>
        <w:t xml:space="preserve">are </w:t>
      </w:r>
      <w:r w:rsidR="00665E31" w:rsidRPr="00F26EF7">
        <w:rPr>
          <w:sz w:val="24"/>
          <w:szCs w:val="24"/>
          <w:lang w:val="en-US"/>
        </w:rPr>
        <w:t xml:space="preserve">sensitive to </w:t>
      </w:r>
      <w:r w:rsidR="00AB30B7">
        <w:rPr>
          <w:sz w:val="24"/>
          <w:szCs w:val="24"/>
          <w:lang w:val="en-US"/>
        </w:rPr>
        <w:t xml:space="preserve">delineation of separate events and </w:t>
      </w:r>
      <w:r w:rsidRPr="00F26EF7">
        <w:rPr>
          <w:sz w:val="24"/>
          <w:szCs w:val="24"/>
          <w:lang w:val="en-US"/>
        </w:rPr>
        <w:t xml:space="preserve">the number of reported sources </w:t>
      </w:r>
      <w:r w:rsidR="00665E31" w:rsidRPr="00F26EF7">
        <w:rPr>
          <w:sz w:val="24"/>
          <w:szCs w:val="24"/>
          <w:lang w:val="en-US"/>
        </w:rPr>
        <w:t xml:space="preserve">over subsequent days, </w:t>
      </w:r>
      <w:r w:rsidRPr="00F26EF7">
        <w:rPr>
          <w:sz w:val="24"/>
          <w:szCs w:val="24"/>
          <w:lang w:val="en-US"/>
        </w:rPr>
        <w:t>and has no inherent relationship to the number of participants</w:t>
      </w:r>
      <w:r w:rsidR="00665E31" w:rsidRPr="00F26EF7">
        <w:rPr>
          <w:sz w:val="24"/>
          <w:szCs w:val="24"/>
          <w:lang w:val="en-US"/>
        </w:rPr>
        <w:t xml:space="preserve"> or the scale of the event</w:t>
      </w:r>
      <w:r w:rsidRPr="00F26EF7">
        <w:rPr>
          <w:sz w:val="24"/>
          <w:szCs w:val="24"/>
          <w:lang w:val="en-US"/>
        </w:rPr>
        <w:t xml:space="preserve">. </w:t>
      </w:r>
      <w:r w:rsidR="00C20E86">
        <w:rPr>
          <w:sz w:val="24"/>
          <w:szCs w:val="24"/>
          <w:lang w:val="en-US"/>
        </w:rPr>
        <w:t>W</w:t>
      </w:r>
      <w:r w:rsidR="00DA53BF">
        <w:rPr>
          <w:sz w:val="24"/>
          <w:szCs w:val="24"/>
          <w:lang w:val="en-US"/>
        </w:rPr>
        <w:t xml:space="preserve">e use a simple </w:t>
      </w:r>
      <w:r w:rsidRPr="00F26EF7">
        <w:rPr>
          <w:sz w:val="24"/>
          <w:szCs w:val="24"/>
          <w:lang w:val="en-US"/>
        </w:rPr>
        <w:t>transition model between spells of events</w:t>
      </w:r>
      <w:r w:rsidR="00DA53BF">
        <w:rPr>
          <w:sz w:val="24"/>
          <w:szCs w:val="24"/>
          <w:lang w:val="en-US"/>
        </w:rPr>
        <w:t>/no-events</w:t>
      </w:r>
      <w:r w:rsidRPr="00F26EF7">
        <w:rPr>
          <w:sz w:val="24"/>
          <w:szCs w:val="24"/>
          <w:lang w:val="en-US"/>
        </w:rPr>
        <w:t xml:space="preserve">, </w:t>
      </w:r>
      <w:r w:rsidR="00C20E86">
        <w:rPr>
          <w:sz w:val="24"/>
          <w:szCs w:val="24"/>
          <w:lang w:val="en-US"/>
        </w:rPr>
        <w:t xml:space="preserve">and </w:t>
      </w:r>
      <w:r w:rsidRPr="00F26EF7">
        <w:rPr>
          <w:sz w:val="24"/>
          <w:szCs w:val="24"/>
          <w:lang w:val="en-US"/>
        </w:rPr>
        <w:t>consider how covariates affect the likelihood of entry into and out of spells of protest or violent conflict</w:t>
      </w:r>
      <w:r w:rsidR="00A6121F">
        <w:rPr>
          <w:sz w:val="24"/>
          <w:szCs w:val="24"/>
          <w:lang w:val="en-US"/>
        </w:rPr>
        <w:t xml:space="preserve"> at any scale</w:t>
      </w:r>
      <w:r w:rsidRPr="00F26EF7">
        <w:rPr>
          <w:sz w:val="24"/>
          <w:szCs w:val="24"/>
          <w:lang w:val="en-US"/>
        </w:rPr>
        <w:t xml:space="preserve">, based on </w:t>
      </w:r>
      <w:r w:rsidR="00665E31" w:rsidRPr="00F26EF7">
        <w:rPr>
          <w:sz w:val="24"/>
          <w:szCs w:val="24"/>
          <w:lang w:val="en-US"/>
        </w:rPr>
        <w:t xml:space="preserve">the </w:t>
      </w:r>
      <w:r w:rsidRPr="00F26EF7">
        <w:rPr>
          <w:sz w:val="24"/>
          <w:szCs w:val="24"/>
          <w:lang w:val="en-US"/>
        </w:rPr>
        <w:t xml:space="preserve">covariates observable at t-1. We estimate two separate models for transitions into and out of spells. </w:t>
      </w:r>
      <w:r w:rsidR="00C20E86">
        <w:rPr>
          <w:sz w:val="24"/>
          <w:szCs w:val="24"/>
          <w:lang w:val="en-US"/>
        </w:rPr>
        <w:t xml:space="preserve"> (Estimating </w:t>
      </w:r>
      <w:r w:rsidRPr="00F26EF7">
        <w:rPr>
          <w:sz w:val="24"/>
          <w:szCs w:val="24"/>
          <w:lang w:val="en-US"/>
        </w:rPr>
        <w:t xml:space="preserve">a model for transitions in both directions </w:t>
      </w:r>
      <w:r w:rsidR="00383042" w:rsidRPr="00F26EF7">
        <w:rPr>
          <w:sz w:val="24"/>
          <w:szCs w:val="24"/>
          <w:lang w:val="en-US"/>
        </w:rPr>
        <w:t>as a single equation</w:t>
      </w:r>
      <w:r w:rsidR="00C20E86">
        <w:rPr>
          <w:sz w:val="24"/>
          <w:szCs w:val="24"/>
          <w:lang w:val="en-US"/>
        </w:rPr>
        <w:t xml:space="preserve"> would yield identical results </w:t>
      </w:r>
      <w:r w:rsidRPr="00F26EF7">
        <w:rPr>
          <w:sz w:val="24"/>
          <w:szCs w:val="24"/>
          <w:lang w:val="en-US"/>
        </w:rPr>
        <w:t xml:space="preserve">since the variance in limited dependent variable models </w:t>
      </w:r>
      <w:r w:rsidR="006A747B" w:rsidRPr="00F26EF7">
        <w:rPr>
          <w:sz w:val="24"/>
          <w:szCs w:val="24"/>
          <w:lang w:val="en-US"/>
        </w:rPr>
        <w:t xml:space="preserve">must be </w:t>
      </w:r>
      <w:r w:rsidRPr="00F26EF7">
        <w:rPr>
          <w:sz w:val="24"/>
          <w:szCs w:val="24"/>
          <w:lang w:val="en-US"/>
        </w:rPr>
        <w:t>set to 1 for identification.</w:t>
      </w:r>
      <w:r w:rsidR="00C20E86">
        <w:rPr>
          <w:sz w:val="24"/>
          <w:szCs w:val="24"/>
          <w:lang w:val="en-US"/>
        </w:rPr>
        <w:t>)</w:t>
      </w:r>
      <w:r w:rsidRPr="00F26EF7">
        <w:rPr>
          <w:sz w:val="24"/>
          <w:szCs w:val="24"/>
          <w:lang w:val="en-US"/>
        </w:rPr>
        <w:t xml:space="preserve"> </w:t>
      </w:r>
    </w:p>
    <w:p w14:paraId="1A50FEB5" w14:textId="6C2A04EC" w:rsidR="00F405BC" w:rsidRPr="00F26EF7" w:rsidRDefault="00D4646A">
      <w:pPr>
        <w:rPr>
          <w:sz w:val="24"/>
          <w:szCs w:val="24"/>
          <w:lang w:val="en-US"/>
        </w:rPr>
      </w:pPr>
      <w:r w:rsidRPr="00F26EF7">
        <w:rPr>
          <w:sz w:val="24"/>
          <w:szCs w:val="24"/>
          <w:lang w:val="en-US"/>
        </w:rPr>
        <w:t xml:space="preserve">For IMF </w:t>
      </w:r>
      <w:r w:rsidR="00E641B0" w:rsidRPr="00F26EF7">
        <w:rPr>
          <w:sz w:val="24"/>
          <w:szCs w:val="24"/>
          <w:lang w:val="en-US"/>
        </w:rPr>
        <w:t>programs</w:t>
      </w:r>
      <w:r w:rsidRPr="00F26EF7">
        <w:rPr>
          <w:sz w:val="24"/>
          <w:szCs w:val="24"/>
          <w:lang w:val="en-US"/>
        </w:rPr>
        <w:t xml:space="preserve"> we have exact start and end dates taken from formal arrangements involving countries. We code a dummy variable to flag periods where an IMF program starts in one quarter and code this as ongoing until the quarter </w:t>
      </w:r>
      <w:r w:rsidR="00526EFF" w:rsidRPr="00F26EF7">
        <w:rPr>
          <w:sz w:val="24"/>
          <w:szCs w:val="24"/>
          <w:lang w:val="en-US"/>
        </w:rPr>
        <w:t>in which</w:t>
      </w:r>
      <w:r w:rsidRPr="00F26EF7">
        <w:rPr>
          <w:sz w:val="24"/>
          <w:szCs w:val="24"/>
          <w:lang w:val="en-US"/>
        </w:rPr>
        <w:t xml:space="preserve"> the program comes to an end. We </w:t>
      </w:r>
      <w:r w:rsidR="00C95F8B" w:rsidRPr="00F26EF7">
        <w:rPr>
          <w:sz w:val="24"/>
          <w:szCs w:val="24"/>
          <w:lang w:val="en-US"/>
        </w:rPr>
        <w:t xml:space="preserve">distinguish </w:t>
      </w:r>
      <w:r w:rsidRPr="00F26EF7">
        <w:rPr>
          <w:sz w:val="24"/>
          <w:szCs w:val="24"/>
          <w:lang w:val="en-US"/>
        </w:rPr>
        <w:t xml:space="preserve">three different </w:t>
      </w:r>
      <w:r w:rsidR="00C95F8B" w:rsidRPr="00F26EF7">
        <w:rPr>
          <w:sz w:val="24"/>
          <w:szCs w:val="24"/>
          <w:lang w:val="en-US"/>
        </w:rPr>
        <w:t>types of financial c</w:t>
      </w:r>
      <w:r w:rsidRPr="00F26EF7">
        <w:rPr>
          <w:sz w:val="24"/>
          <w:szCs w:val="24"/>
          <w:lang w:val="en-US"/>
        </w:rPr>
        <w:t>rises</w:t>
      </w:r>
      <w:r w:rsidR="00333812" w:rsidRPr="00F26EF7">
        <w:rPr>
          <w:sz w:val="24"/>
          <w:szCs w:val="24"/>
          <w:lang w:val="en-US"/>
        </w:rPr>
        <w:t xml:space="preserve">, </w:t>
      </w:r>
      <w:r w:rsidRPr="00F26EF7">
        <w:rPr>
          <w:sz w:val="24"/>
          <w:szCs w:val="24"/>
          <w:lang w:val="en-US"/>
        </w:rPr>
        <w:t>us</w:t>
      </w:r>
      <w:r w:rsidR="00333812" w:rsidRPr="00F26EF7">
        <w:rPr>
          <w:sz w:val="24"/>
          <w:szCs w:val="24"/>
          <w:lang w:val="en-US"/>
        </w:rPr>
        <w:t>ing</w:t>
      </w:r>
      <w:r w:rsidRPr="00F26EF7">
        <w:rPr>
          <w:sz w:val="24"/>
          <w:szCs w:val="24"/>
          <w:lang w:val="en-US"/>
        </w:rPr>
        <w:t xml:space="preserve"> the original Leaven and Valencia (2013a,</w:t>
      </w:r>
      <w:r w:rsidR="002B704D" w:rsidRPr="00F26EF7">
        <w:rPr>
          <w:sz w:val="24"/>
          <w:szCs w:val="24"/>
          <w:lang w:val="en-US"/>
        </w:rPr>
        <w:t xml:space="preserve"> </w:t>
      </w:r>
      <w:r w:rsidRPr="00F26EF7">
        <w:rPr>
          <w:sz w:val="24"/>
          <w:szCs w:val="24"/>
          <w:lang w:val="en-US"/>
        </w:rPr>
        <w:t>b)</w:t>
      </w:r>
      <w:r w:rsidR="00333812" w:rsidRPr="00F26EF7">
        <w:rPr>
          <w:sz w:val="24"/>
          <w:szCs w:val="24"/>
          <w:lang w:val="en-US"/>
        </w:rPr>
        <w:t xml:space="preserve"> data</w:t>
      </w:r>
      <w:r w:rsidRPr="00F26EF7">
        <w:rPr>
          <w:sz w:val="24"/>
          <w:szCs w:val="24"/>
          <w:lang w:val="en-US"/>
        </w:rPr>
        <w:t xml:space="preserve"> on systemic banking crises beyond 2007. They define a systemic banking crises as situations where</w:t>
      </w:r>
    </w:p>
    <w:p w14:paraId="30482C90" w14:textId="29068803" w:rsidR="00F405BC" w:rsidRPr="00F26EF7" w:rsidRDefault="00D4646A">
      <w:pPr>
        <w:ind w:left="708"/>
        <w:rPr>
          <w:sz w:val="24"/>
          <w:szCs w:val="24"/>
          <w:lang w:val="en-US"/>
        </w:rPr>
      </w:pPr>
      <w:r w:rsidRPr="00F26EF7">
        <w:rPr>
          <w:sz w:val="24"/>
          <w:szCs w:val="24"/>
          <w:lang w:val="en-US"/>
        </w:rPr>
        <w:t>a country’s corporate and financial sectors experience a large number of defaults and financial institutions and corporations face great difficulties repaying contracts on time. As a result, non-performing loans increase sharply and all or most of the aggregate banking system capital is exhausted (</w:t>
      </w:r>
      <w:r w:rsidR="00E641B0" w:rsidRPr="00F26EF7">
        <w:rPr>
          <w:sz w:val="24"/>
          <w:szCs w:val="24"/>
          <w:lang w:val="en-US"/>
        </w:rPr>
        <w:t xml:space="preserve">Leaven and Valencia </w:t>
      </w:r>
      <w:r w:rsidRPr="00F26EF7">
        <w:rPr>
          <w:sz w:val="24"/>
          <w:szCs w:val="24"/>
          <w:lang w:val="en-US"/>
        </w:rPr>
        <w:t xml:space="preserve">2013a, 4). </w:t>
      </w:r>
    </w:p>
    <w:p w14:paraId="5BE25CBD" w14:textId="344C1044" w:rsidR="00F405BC" w:rsidRPr="00F26EF7" w:rsidRDefault="00D4646A">
      <w:pPr>
        <w:rPr>
          <w:sz w:val="24"/>
          <w:szCs w:val="24"/>
          <w:lang w:val="en-US"/>
        </w:rPr>
      </w:pPr>
      <w:r w:rsidRPr="00F26EF7">
        <w:rPr>
          <w:sz w:val="24"/>
          <w:szCs w:val="24"/>
          <w:lang w:val="en-US"/>
        </w:rPr>
        <w:t>The timing of the crises are identified by “whether the crisis year coincides with deposit runs, the introduction of a deposit freeze or blanket guarantee, or extensive liquidity support or bank interventions” (2013</w:t>
      </w:r>
      <w:r w:rsidR="009C3D15" w:rsidRPr="00F26EF7">
        <w:rPr>
          <w:sz w:val="24"/>
          <w:szCs w:val="24"/>
          <w:lang w:val="en-US"/>
        </w:rPr>
        <w:t>a, 4</w:t>
      </w:r>
      <w:r w:rsidRPr="00F26EF7">
        <w:rPr>
          <w:sz w:val="24"/>
          <w:szCs w:val="24"/>
          <w:lang w:val="en-US"/>
        </w:rPr>
        <w:t xml:space="preserve">). </w:t>
      </w:r>
    </w:p>
    <w:p w14:paraId="160CA2FE" w14:textId="254F14BE" w:rsidR="00F405BC" w:rsidRPr="00F26EF7" w:rsidRDefault="00D4646A">
      <w:pPr>
        <w:rPr>
          <w:sz w:val="24"/>
          <w:szCs w:val="24"/>
          <w:lang w:val="en-US"/>
        </w:rPr>
      </w:pPr>
      <w:r w:rsidRPr="00F26EF7">
        <w:rPr>
          <w:sz w:val="24"/>
          <w:szCs w:val="24"/>
          <w:lang w:val="en-US"/>
        </w:rPr>
        <w:lastRenderedPageBreak/>
        <w:t>The Leaven and Valencia data also flag currency crises and systemic debt crises. Following Frankel and Rose (1996), currency crises are defined as “a nominal depreciation of the currency of at least 30 percent that is also at least a 10 percent increase in the rate of depreciation compared to the year before” (Leaven and Valencia 2013a, 5). Finally, systemic deb</w:t>
      </w:r>
      <w:r w:rsidR="009C3D15" w:rsidRPr="00F26EF7">
        <w:rPr>
          <w:sz w:val="24"/>
          <w:szCs w:val="24"/>
          <w:lang w:val="en-US"/>
        </w:rPr>
        <w:t>t</w:t>
      </w:r>
      <w:r w:rsidRPr="00F26EF7">
        <w:rPr>
          <w:sz w:val="24"/>
          <w:szCs w:val="24"/>
          <w:lang w:val="en-US"/>
        </w:rPr>
        <w:t xml:space="preserve"> crises are identified based on sovereign defaults to private lending and debt rescheduling.</w:t>
      </w:r>
    </w:p>
    <w:p w14:paraId="7DD5A610" w14:textId="29765318" w:rsidR="00F405BC" w:rsidRPr="00F26EF7" w:rsidRDefault="00D4646A">
      <w:pPr>
        <w:rPr>
          <w:sz w:val="24"/>
          <w:szCs w:val="24"/>
          <w:lang w:val="en-US"/>
        </w:rPr>
      </w:pPr>
      <w:r w:rsidRPr="00F26EF7">
        <w:rPr>
          <w:sz w:val="24"/>
          <w:szCs w:val="24"/>
          <w:lang w:val="en-US"/>
        </w:rPr>
        <w:t xml:space="preserve">Finally, we include the consumer price index </w:t>
      </w:r>
      <w:r w:rsidR="00440DFB" w:rsidRPr="00F26EF7">
        <w:rPr>
          <w:sz w:val="24"/>
          <w:szCs w:val="24"/>
          <w:lang w:val="en-US"/>
        </w:rPr>
        <w:t xml:space="preserve">(CPI) </w:t>
      </w:r>
      <w:r w:rsidRPr="00F26EF7">
        <w:rPr>
          <w:sz w:val="24"/>
          <w:szCs w:val="24"/>
          <w:lang w:val="en-US"/>
        </w:rPr>
        <w:t xml:space="preserve">and the change in the </w:t>
      </w:r>
      <w:r w:rsidR="00032157" w:rsidRPr="00F26EF7">
        <w:rPr>
          <w:sz w:val="24"/>
          <w:szCs w:val="24"/>
          <w:lang w:val="en-US"/>
        </w:rPr>
        <w:t>CPI</w:t>
      </w:r>
      <w:r w:rsidRPr="00F26EF7">
        <w:rPr>
          <w:sz w:val="24"/>
          <w:szCs w:val="24"/>
          <w:lang w:val="en-US"/>
        </w:rPr>
        <w:t xml:space="preserve"> as direct measure</w:t>
      </w:r>
      <w:r w:rsidR="00CE552A" w:rsidRPr="00F26EF7">
        <w:rPr>
          <w:sz w:val="24"/>
          <w:szCs w:val="24"/>
          <w:lang w:val="en-US"/>
        </w:rPr>
        <w:t>s</w:t>
      </w:r>
      <w:r w:rsidRPr="00F26EF7">
        <w:rPr>
          <w:sz w:val="24"/>
          <w:szCs w:val="24"/>
          <w:lang w:val="en-US"/>
        </w:rPr>
        <w:t xml:space="preserve"> of the impact of the economy. This is an important control variable </w:t>
      </w:r>
      <w:r w:rsidR="002F2141">
        <w:rPr>
          <w:sz w:val="24"/>
          <w:szCs w:val="24"/>
          <w:lang w:val="en-US"/>
        </w:rPr>
        <w:t xml:space="preserve">for estimates of </w:t>
      </w:r>
      <w:r w:rsidR="002F2141" w:rsidRPr="00F26EF7">
        <w:rPr>
          <w:sz w:val="24"/>
          <w:szCs w:val="24"/>
          <w:lang w:val="en-US"/>
        </w:rPr>
        <w:t xml:space="preserve">a country´s mobilization potential </w:t>
      </w:r>
      <w:r w:rsidRPr="00F26EF7">
        <w:rPr>
          <w:sz w:val="24"/>
          <w:szCs w:val="24"/>
          <w:lang w:val="en-US"/>
        </w:rPr>
        <w:t xml:space="preserve">as either crises or IMF programs may have apparent effects on protest or violence that are due to the associated impact on the local economy rather than impact of the IMF or financial crises per se. To consider possible time dependence we also </w:t>
      </w:r>
      <w:r w:rsidR="002F2141">
        <w:rPr>
          <w:sz w:val="24"/>
          <w:szCs w:val="24"/>
          <w:lang w:val="en-US"/>
        </w:rPr>
        <w:t xml:space="preserve">consider </w:t>
      </w:r>
      <w:r w:rsidRPr="00F26EF7">
        <w:rPr>
          <w:sz w:val="24"/>
          <w:szCs w:val="24"/>
          <w:lang w:val="en-US"/>
        </w:rPr>
        <w:t xml:space="preserve">the amount of time since any previous dissent spell, as well as </w:t>
      </w:r>
      <w:r w:rsidR="00383042" w:rsidRPr="00F26EF7">
        <w:rPr>
          <w:sz w:val="24"/>
          <w:szCs w:val="24"/>
          <w:lang w:val="en-US"/>
        </w:rPr>
        <w:t xml:space="preserve">terms for the </w:t>
      </w:r>
      <w:r w:rsidRPr="00F26EF7">
        <w:rPr>
          <w:sz w:val="24"/>
          <w:szCs w:val="24"/>
          <w:lang w:val="en-US"/>
        </w:rPr>
        <w:t xml:space="preserve">square and cube </w:t>
      </w:r>
      <w:r w:rsidR="00383042" w:rsidRPr="00F26EF7">
        <w:rPr>
          <w:sz w:val="24"/>
          <w:szCs w:val="24"/>
          <w:lang w:val="en-US"/>
        </w:rPr>
        <w:t xml:space="preserve">of time passed </w:t>
      </w:r>
      <w:r w:rsidRPr="00F26EF7">
        <w:rPr>
          <w:sz w:val="24"/>
          <w:szCs w:val="24"/>
          <w:lang w:val="en-US"/>
        </w:rPr>
        <w:t xml:space="preserve">(Signorino and Carter 2007). </w:t>
      </w:r>
    </w:p>
    <w:p w14:paraId="0850B212" w14:textId="4B458E96" w:rsidR="00F405BC" w:rsidRPr="00F26EF7" w:rsidRDefault="00D4646A">
      <w:pPr>
        <w:rPr>
          <w:sz w:val="24"/>
          <w:szCs w:val="24"/>
          <w:lang w:val="en-US"/>
        </w:rPr>
      </w:pPr>
      <w:r w:rsidRPr="00F26EF7">
        <w:rPr>
          <w:sz w:val="24"/>
          <w:szCs w:val="24"/>
          <w:lang w:val="en-US"/>
        </w:rPr>
        <w:t>Studies on the impact of IMF programs on social mobilization or war have, with the exception of Casper (2017), not explicitly addressed the possible endogeneity of these interventions. Hartzell et al</w:t>
      </w:r>
      <w:r w:rsidR="00F931E8" w:rsidRPr="00F26EF7">
        <w:rPr>
          <w:sz w:val="24"/>
          <w:szCs w:val="24"/>
          <w:lang w:val="en-US"/>
        </w:rPr>
        <w:t>.</w:t>
      </w:r>
      <w:r w:rsidRPr="00F26EF7">
        <w:rPr>
          <w:sz w:val="24"/>
          <w:szCs w:val="24"/>
          <w:lang w:val="en-US"/>
        </w:rPr>
        <w:t xml:space="preserve"> (2010) estimate a bivariate probit model of IMF programs and civil war and allow for the errors to be correlated. However, the</w:t>
      </w:r>
      <w:r w:rsidR="00F252EC" w:rsidRPr="00F26EF7">
        <w:rPr>
          <w:sz w:val="24"/>
          <w:szCs w:val="24"/>
          <w:lang w:val="en-US"/>
        </w:rPr>
        <w:t>ir</w:t>
      </w:r>
      <w:r w:rsidRPr="00F26EF7">
        <w:rPr>
          <w:sz w:val="24"/>
          <w:szCs w:val="24"/>
          <w:lang w:val="en-US"/>
        </w:rPr>
        <w:t xml:space="preserve"> model contains no explicit identification or exogenous predictors to explain IMF involvement. In the absence of exogenous instruments, the bivariate probit model is only identified based on assumptions about the distribution of the error term (see Sartori 2003).</w:t>
      </w:r>
    </w:p>
    <w:p w14:paraId="1ACC1291" w14:textId="399A63FB" w:rsidR="00F405BC" w:rsidRPr="00F26EF7" w:rsidRDefault="00D4646A">
      <w:pPr>
        <w:rPr>
          <w:sz w:val="24"/>
          <w:szCs w:val="24"/>
          <w:lang w:val="en-US"/>
        </w:rPr>
      </w:pPr>
      <w:r w:rsidRPr="00F26EF7">
        <w:rPr>
          <w:sz w:val="24"/>
          <w:szCs w:val="24"/>
          <w:lang w:val="en-US"/>
        </w:rPr>
        <w:t xml:space="preserve">Studies on the impact of IMF participation on economic outcomes, by contrast, have a long tradition in </w:t>
      </w:r>
      <w:r w:rsidR="003D70EA" w:rsidRPr="00F26EF7">
        <w:rPr>
          <w:sz w:val="24"/>
          <w:szCs w:val="24"/>
          <w:lang w:val="en-US"/>
        </w:rPr>
        <w:t>seeking to account</w:t>
      </w:r>
      <w:r w:rsidRPr="00F26EF7">
        <w:rPr>
          <w:sz w:val="24"/>
          <w:szCs w:val="24"/>
          <w:lang w:val="en-US"/>
        </w:rPr>
        <w:t xml:space="preserve"> for the endogenous nature of the interventions by the Bretton Woods institution. Analyzing the impact of the IMF on economic growth, </w:t>
      </w:r>
      <w:r w:rsidR="00B353A4" w:rsidRPr="00F26EF7">
        <w:rPr>
          <w:sz w:val="24"/>
          <w:szCs w:val="24"/>
          <w:lang w:val="en-US"/>
        </w:rPr>
        <w:t xml:space="preserve">for example, </w:t>
      </w:r>
      <w:r w:rsidRPr="00F26EF7">
        <w:rPr>
          <w:sz w:val="24"/>
          <w:szCs w:val="24"/>
          <w:lang w:val="en-US"/>
        </w:rPr>
        <w:t xml:space="preserve">Atoyan and Conway (2006) compare instrumental variable and matching approaches. A prior study by Barro and Lee (2005) suggests the share of a country’s own nationals working at the IMF </w:t>
      </w:r>
      <w:r w:rsidR="009436F6" w:rsidRPr="00F26EF7">
        <w:rPr>
          <w:sz w:val="24"/>
          <w:szCs w:val="24"/>
          <w:lang w:val="en-US"/>
        </w:rPr>
        <w:t xml:space="preserve">can be </w:t>
      </w:r>
      <w:r w:rsidRPr="00F26EF7">
        <w:rPr>
          <w:sz w:val="24"/>
          <w:szCs w:val="24"/>
          <w:lang w:val="en-US"/>
        </w:rPr>
        <w:t xml:space="preserve">a plausible exogenous instrument for </w:t>
      </w:r>
      <w:r w:rsidR="009436F6" w:rsidRPr="00F26EF7">
        <w:rPr>
          <w:sz w:val="24"/>
          <w:szCs w:val="24"/>
          <w:lang w:val="en-US"/>
        </w:rPr>
        <w:t xml:space="preserve">an </w:t>
      </w:r>
      <w:r w:rsidRPr="00F26EF7">
        <w:rPr>
          <w:sz w:val="24"/>
          <w:szCs w:val="24"/>
          <w:lang w:val="en-US"/>
        </w:rPr>
        <w:t xml:space="preserve">IMF program. Casper (2017) adopts this </w:t>
      </w:r>
      <w:r w:rsidR="009436F6" w:rsidRPr="00F26EF7">
        <w:rPr>
          <w:sz w:val="24"/>
          <w:szCs w:val="24"/>
          <w:lang w:val="en-US"/>
        </w:rPr>
        <w:t xml:space="preserve">proposed instrument </w:t>
      </w:r>
      <w:r w:rsidRPr="00F26EF7">
        <w:rPr>
          <w:sz w:val="24"/>
          <w:szCs w:val="24"/>
          <w:lang w:val="en-US"/>
        </w:rPr>
        <w:t xml:space="preserve">to study the impact of IMF on coups. </w:t>
      </w:r>
      <w:r w:rsidR="00C20E86">
        <w:rPr>
          <w:sz w:val="24"/>
          <w:szCs w:val="24"/>
          <w:lang w:val="en-US"/>
        </w:rPr>
        <w:t xml:space="preserve">The instrument is plausibly relevant, since </w:t>
      </w:r>
      <w:r w:rsidR="009D3A87">
        <w:rPr>
          <w:sz w:val="24"/>
          <w:szCs w:val="24"/>
          <w:lang w:val="en-US"/>
        </w:rPr>
        <w:t xml:space="preserve">it is </w:t>
      </w:r>
      <w:r w:rsidR="00C20E86">
        <w:rPr>
          <w:sz w:val="24"/>
          <w:szCs w:val="24"/>
          <w:lang w:val="en-US"/>
        </w:rPr>
        <w:t xml:space="preserve">likely to be </w:t>
      </w:r>
      <w:r w:rsidR="009D3A87">
        <w:rPr>
          <w:sz w:val="24"/>
          <w:szCs w:val="24"/>
          <w:lang w:val="en-US"/>
        </w:rPr>
        <w:t xml:space="preserve">easier for the IMF to develop programs for countries when they have staff with country-specific knowledge. </w:t>
      </w:r>
      <w:r w:rsidRPr="00F26EF7">
        <w:rPr>
          <w:sz w:val="24"/>
          <w:szCs w:val="24"/>
          <w:lang w:val="en-US"/>
        </w:rPr>
        <w:t xml:space="preserve">We </w:t>
      </w:r>
      <w:r w:rsidR="009D3A87">
        <w:rPr>
          <w:sz w:val="24"/>
          <w:szCs w:val="24"/>
          <w:lang w:val="en-US"/>
        </w:rPr>
        <w:t xml:space="preserve">also </w:t>
      </w:r>
      <w:r w:rsidRPr="00F26EF7">
        <w:rPr>
          <w:sz w:val="24"/>
          <w:szCs w:val="24"/>
          <w:lang w:val="en-US"/>
        </w:rPr>
        <w:t xml:space="preserve">believe that this is likely to </w:t>
      </w:r>
      <w:r w:rsidR="000D07E3" w:rsidRPr="00F26EF7">
        <w:rPr>
          <w:sz w:val="24"/>
          <w:szCs w:val="24"/>
          <w:lang w:val="en-US"/>
        </w:rPr>
        <w:t xml:space="preserve">satisfy the exclusion criterion, </w:t>
      </w:r>
      <w:r w:rsidRPr="00F26EF7">
        <w:rPr>
          <w:sz w:val="24"/>
          <w:szCs w:val="24"/>
          <w:lang w:val="en-US"/>
        </w:rPr>
        <w:t xml:space="preserve">since it is difficult to imagine that the </w:t>
      </w:r>
      <w:r w:rsidR="00C43EBE">
        <w:rPr>
          <w:sz w:val="24"/>
          <w:szCs w:val="24"/>
          <w:lang w:val="en-US"/>
        </w:rPr>
        <w:t xml:space="preserve">anticipated </w:t>
      </w:r>
      <w:r w:rsidRPr="00F26EF7">
        <w:rPr>
          <w:sz w:val="24"/>
          <w:szCs w:val="24"/>
          <w:lang w:val="en-US"/>
        </w:rPr>
        <w:t xml:space="preserve">risk of protest would change </w:t>
      </w:r>
      <w:r w:rsidR="00C43EBE">
        <w:rPr>
          <w:sz w:val="24"/>
          <w:szCs w:val="24"/>
          <w:lang w:val="en-US"/>
        </w:rPr>
        <w:t xml:space="preserve">prior </w:t>
      </w:r>
      <w:r w:rsidRPr="00F26EF7">
        <w:rPr>
          <w:sz w:val="24"/>
          <w:szCs w:val="24"/>
          <w:lang w:val="en-US"/>
        </w:rPr>
        <w:t xml:space="preserve">national IMF staffing. </w:t>
      </w:r>
      <w:r w:rsidR="000D07E3" w:rsidRPr="00F26EF7">
        <w:rPr>
          <w:sz w:val="24"/>
          <w:szCs w:val="24"/>
          <w:lang w:val="en-US"/>
        </w:rPr>
        <w:t xml:space="preserve">A </w:t>
      </w:r>
      <w:r w:rsidRPr="00F26EF7">
        <w:rPr>
          <w:sz w:val="24"/>
          <w:szCs w:val="24"/>
          <w:lang w:val="en-US"/>
        </w:rPr>
        <w:t xml:space="preserve">downside of the measure is that the </w:t>
      </w:r>
      <w:r w:rsidR="00E40759" w:rsidRPr="00F26EF7">
        <w:rPr>
          <w:sz w:val="24"/>
          <w:szCs w:val="24"/>
          <w:lang w:val="en-US"/>
        </w:rPr>
        <w:t xml:space="preserve">available </w:t>
      </w:r>
      <w:r w:rsidRPr="00F26EF7">
        <w:rPr>
          <w:sz w:val="24"/>
          <w:szCs w:val="24"/>
          <w:lang w:val="en-US"/>
        </w:rPr>
        <w:t xml:space="preserve">data are measured only </w:t>
      </w:r>
      <w:r w:rsidRPr="00F26EF7">
        <w:rPr>
          <w:sz w:val="24"/>
          <w:szCs w:val="24"/>
          <w:lang w:val="en-US"/>
        </w:rPr>
        <w:lastRenderedPageBreak/>
        <w:t xml:space="preserve">at five year intervals and </w:t>
      </w:r>
      <w:r w:rsidR="00C43EBE">
        <w:rPr>
          <w:sz w:val="24"/>
          <w:szCs w:val="24"/>
          <w:lang w:val="en-US"/>
        </w:rPr>
        <w:t xml:space="preserve">have limited </w:t>
      </w:r>
      <w:r w:rsidRPr="00F26EF7">
        <w:rPr>
          <w:sz w:val="24"/>
          <w:szCs w:val="24"/>
          <w:lang w:val="en-US"/>
        </w:rPr>
        <w:t>variation over time</w:t>
      </w:r>
      <w:r w:rsidR="00E40759" w:rsidRPr="00F26EF7">
        <w:rPr>
          <w:sz w:val="24"/>
          <w:szCs w:val="24"/>
          <w:lang w:val="en-US"/>
        </w:rPr>
        <w:t xml:space="preserve">. Hence, it </w:t>
      </w:r>
      <w:r w:rsidRPr="00F26EF7">
        <w:rPr>
          <w:sz w:val="24"/>
          <w:szCs w:val="24"/>
          <w:lang w:val="en-US"/>
        </w:rPr>
        <w:t xml:space="preserve">will be difficult to distinguish </w:t>
      </w:r>
      <w:r w:rsidR="00E40759" w:rsidRPr="00F26EF7">
        <w:rPr>
          <w:sz w:val="24"/>
          <w:szCs w:val="24"/>
          <w:lang w:val="en-US"/>
        </w:rPr>
        <w:t xml:space="preserve">the instrument </w:t>
      </w:r>
      <w:r w:rsidRPr="00F26EF7">
        <w:rPr>
          <w:sz w:val="24"/>
          <w:szCs w:val="24"/>
          <w:lang w:val="en-US"/>
        </w:rPr>
        <w:t xml:space="preserve">from </w:t>
      </w:r>
      <w:r w:rsidR="00BC3694" w:rsidRPr="00F26EF7">
        <w:rPr>
          <w:sz w:val="24"/>
          <w:szCs w:val="24"/>
          <w:lang w:val="en-US"/>
        </w:rPr>
        <w:t xml:space="preserve">country </w:t>
      </w:r>
      <w:r w:rsidRPr="00F26EF7">
        <w:rPr>
          <w:sz w:val="24"/>
          <w:szCs w:val="24"/>
          <w:lang w:val="en-US"/>
        </w:rPr>
        <w:t xml:space="preserve">fixed effects. </w:t>
      </w:r>
      <w:r w:rsidR="00BC7FAB">
        <w:rPr>
          <w:sz w:val="24"/>
          <w:szCs w:val="24"/>
          <w:lang w:val="en-US"/>
        </w:rPr>
        <w:t>H</w:t>
      </w:r>
      <w:r w:rsidR="00BC3694" w:rsidRPr="00F26EF7">
        <w:rPr>
          <w:sz w:val="24"/>
          <w:szCs w:val="24"/>
          <w:lang w:val="en-US"/>
        </w:rPr>
        <w:t xml:space="preserve">owever, </w:t>
      </w:r>
      <w:r w:rsidRPr="00F26EF7">
        <w:rPr>
          <w:sz w:val="24"/>
          <w:szCs w:val="24"/>
          <w:lang w:val="en-US"/>
        </w:rPr>
        <w:t xml:space="preserve">fixed effects </w:t>
      </w:r>
      <w:r w:rsidR="00BC7FAB">
        <w:rPr>
          <w:sz w:val="24"/>
          <w:szCs w:val="24"/>
          <w:lang w:val="en-US"/>
        </w:rPr>
        <w:t xml:space="preserve">are </w:t>
      </w:r>
      <w:r w:rsidR="00AE29D2">
        <w:rPr>
          <w:sz w:val="24"/>
          <w:szCs w:val="24"/>
          <w:lang w:val="en-US"/>
        </w:rPr>
        <w:t xml:space="preserve">not </w:t>
      </w:r>
      <w:r w:rsidRPr="00F26EF7">
        <w:rPr>
          <w:sz w:val="24"/>
          <w:szCs w:val="24"/>
          <w:lang w:val="en-US"/>
        </w:rPr>
        <w:t xml:space="preserve">appropriate </w:t>
      </w:r>
      <w:r w:rsidR="00BC3694" w:rsidRPr="00F26EF7">
        <w:rPr>
          <w:sz w:val="24"/>
          <w:szCs w:val="24"/>
          <w:lang w:val="en-US"/>
        </w:rPr>
        <w:t xml:space="preserve">in </w:t>
      </w:r>
      <w:r w:rsidR="00AE29D2">
        <w:rPr>
          <w:sz w:val="24"/>
          <w:szCs w:val="24"/>
          <w:lang w:val="en-US"/>
        </w:rPr>
        <w:t xml:space="preserve">a </w:t>
      </w:r>
      <w:r w:rsidR="00BC3694" w:rsidRPr="00F26EF7">
        <w:rPr>
          <w:sz w:val="24"/>
          <w:szCs w:val="24"/>
          <w:lang w:val="en-US"/>
        </w:rPr>
        <w:t xml:space="preserve">binary state </w:t>
      </w:r>
      <w:r w:rsidRPr="00F26EF7">
        <w:rPr>
          <w:sz w:val="24"/>
          <w:szCs w:val="24"/>
          <w:lang w:val="en-US"/>
        </w:rPr>
        <w:t>transition mod</w:t>
      </w:r>
      <w:r w:rsidR="00BC3694" w:rsidRPr="00F26EF7">
        <w:rPr>
          <w:sz w:val="24"/>
          <w:szCs w:val="24"/>
          <w:lang w:val="en-US"/>
        </w:rPr>
        <w:t xml:space="preserve">el set-up, </w:t>
      </w:r>
      <w:r w:rsidRPr="00F26EF7">
        <w:rPr>
          <w:sz w:val="24"/>
          <w:szCs w:val="24"/>
          <w:lang w:val="en-US"/>
        </w:rPr>
        <w:t xml:space="preserve">as it will exclude </w:t>
      </w:r>
      <w:r w:rsidR="001A58CC" w:rsidRPr="00F26EF7">
        <w:rPr>
          <w:sz w:val="24"/>
          <w:szCs w:val="24"/>
          <w:lang w:val="en-US"/>
        </w:rPr>
        <w:t xml:space="preserve">all </w:t>
      </w:r>
      <w:r w:rsidR="00BC3694" w:rsidRPr="00F26EF7">
        <w:rPr>
          <w:sz w:val="24"/>
          <w:szCs w:val="24"/>
          <w:lang w:val="en-US"/>
        </w:rPr>
        <w:t xml:space="preserve">observations from </w:t>
      </w:r>
      <w:r w:rsidRPr="00F26EF7">
        <w:rPr>
          <w:sz w:val="24"/>
          <w:szCs w:val="24"/>
          <w:lang w:val="en-US"/>
        </w:rPr>
        <w:t>units without transitions</w:t>
      </w:r>
      <w:r w:rsidR="00AE29D2">
        <w:rPr>
          <w:sz w:val="24"/>
          <w:szCs w:val="24"/>
          <w:lang w:val="en-US"/>
        </w:rPr>
        <w:t xml:space="preserve"> between states</w:t>
      </w:r>
      <w:r w:rsidRPr="00F26EF7">
        <w:rPr>
          <w:sz w:val="24"/>
          <w:szCs w:val="24"/>
          <w:lang w:val="en-US"/>
        </w:rPr>
        <w:t xml:space="preserve">. </w:t>
      </w:r>
    </w:p>
    <w:p w14:paraId="40FB80E1" w14:textId="77777777" w:rsidR="00657E6F" w:rsidRPr="00F26EF7" w:rsidRDefault="00657E6F">
      <w:pPr>
        <w:rPr>
          <w:sz w:val="24"/>
          <w:szCs w:val="24"/>
          <w:lang w:val="en-US"/>
        </w:rPr>
      </w:pPr>
    </w:p>
    <w:p w14:paraId="3436244C" w14:textId="77777777" w:rsidR="00F405BC" w:rsidRPr="00F26EF7" w:rsidRDefault="00D4646A" w:rsidP="00856037">
      <w:pPr>
        <w:outlineLvl w:val="0"/>
        <w:rPr>
          <w:b/>
          <w:sz w:val="24"/>
          <w:szCs w:val="24"/>
          <w:lang w:val="en-US"/>
        </w:rPr>
      </w:pPr>
      <w:r w:rsidRPr="00F26EF7">
        <w:rPr>
          <w:b/>
          <w:sz w:val="24"/>
          <w:szCs w:val="24"/>
          <w:lang w:val="en-US"/>
        </w:rPr>
        <w:t>Results</w:t>
      </w:r>
    </w:p>
    <w:p w14:paraId="2118E9FF" w14:textId="77777777" w:rsidR="007D4B31" w:rsidRPr="00F26EF7" w:rsidRDefault="007D4B31">
      <w:pPr>
        <w:rPr>
          <w:i/>
          <w:sz w:val="24"/>
          <w:szCs w:val="24"/>
          <w:lang w:val="en-US"/>
        </w:rPr>
      </w:pPr>
      <w:r w:rsidRPr="00F26EF7">
        <w:rPr>
          <w:i/>
          <w:sz w:val="24"/>
          <w:szCs w:val="24"/>
          <w:lang w:val="en-US"/>
        </w:rPr>
        <w:t>Descriptive analysis</w:t>
      </w:r>
    </w:p>
    <w:p w14:paraId="0C569B88" w14:textId="477F414D" w:rsidR="00F405BC" w:rsidRPr="00F26EF7" w:rsidRDefault="00D4646A">
      <w:pPr>
        <w:rPr>
          <w:sz w:val="24"/>
          <w:szCs w:val="24"/>
          <w:lang w:val="en-US"/>
        </w:rPr>
      </w:pPr>
      <w:r w:rsidRPr="00F26EF7">
        <w:rPr>
          <w:sz w:val="24"/>
          <w:szCs w:val="24"/>
          <w:lang w:val="en-US"/>
        </w:rPr>
        <w:t>We</w:t>
      </w:r>
      <w:r w:rsidR="00CE552A" w:rsidRPr="00F26EF7">
        <w:rPr>
          <w:sz w:val="24"/>
          <w:szCs w:val="24"/>
          <w:lang w:val="en-US"/>
        </w:rPr>
        <w:t xml:space="preserve"> include </w:t>
      </w:r>
      <w:r w:rsidRPr="00F26EF7">
        <w:rPr>
          <w:sz w:val="24"/>
          <w:szCs w:val="24"/>
          <w:lang w:val="en-US"/>
        </w:rPr>
        <w:t xml:space="preserve">data for a total of </w:t>
      </w:r>
      <w:r w:rsidR="00F87EF5" w:rsidRPr="00F26EF7">
        <w:rPr>
          <w:sz w:val="24"/>
          <w:szCs w:val="24"/>
          <w:lang w:val="en-US"/>
        </w:rPr>
        <w:t>17,544</w:t>
      </w:r>
      <w:r w:rsidRPr="00F26EF7">
        <w:rPr>
          <w:sz w:val="24"/>
          <w:szCs w:val="24"/>
          <w:lang w:val="en-US"/>
        </w:rPr>
        <w:t xml:space="preserve"> country quarters, from the first quarter of </w:t>
      </w:r>
      <w:r w:rsidR="00F87EF5" w:rsidRPr="00F26EF7">
        <w:rPr>
          <w:sz w:val="24"/>
          <w:szCs w:val="24"/>
          <w:lang w:val="en-US"/>
        </w:rPr>
        <w:t>2001</w:t>
      </w:r>
      <w:r w:rsidRPr="00F26EF7">
        <w:rPr>
          <w:sz w:val="24"/>
          <w:szCs w:val="24"/>
          <w:lang w:val="en-US"/>
        </w:rPr>
        <w:t xml:space="preserve"> to the last quarter of 2015.</w:t>
      </w:r>
      <w:r w:rsidR="00C95F8B" w:rsidRPr="00F26EF7">
        <w:rPr>
          <w:sz w:val="24"/>
          <w:szCs w:val="24"/>
          <w:lang w:val="en-US"/>
        </w:rPr>
        <w:t xml:space="preserve"> </w:t>
      </w:r>
      <w:r w:rsidRPr="00F26EF7">
        <w:rPr>
          <w:sz w:val="24"/>
          <w:szCs w:val="24"/>
          <w:lang w:val="en-US"/>
        </w:rPr>
        <w:t>Figure 1 shows the start and end dates of IMF programs. About 10% of the observations contain an IMF program.</w:t>
      </w:r>
      <w:r w:rsidR="002A48CE" w:rsidRPr="00F26EF7">
        <w:rPr>
          <w:sz w:val="24"/>
          <w:szCs w:val="24"/>
          <w:lang w:val="en-US"/>
        </w:rPr>
        <w:t xml:space="preserve"> </w:t>
      </w:r>
      <w:r w:rsidR="00AE29D2" w:rsidRPr="00F26EF7">
        <w:rPr>
          <w:sz w:val="24"/>
          <w:szCs w:val="24"/>
          <w:lang w:val="en-US"/>
        </w:rPr>
        <w:t>Unsurprisingly, the IMF launched new programs most frequently in the aftermath of the collapse of the Lehman Brothers.</w:t>
      </w:r>
    </w:p>
    <w:p w14:paraId="71995DE3" w14:textId="4CD960C2" w:rsidR="00F405BC" w:rsidRPr="00F26EF7" w:rsidRDefault="00710E22">
      <w:pPr>
        <w:rPr>
          <w:sz w:val="24"/>
          <w:szCs w:val="24"/>
          <w:lang w:val="en-US"/>
        </w:rPr>
      </w:pPr>
      <w:r>
        <w:rPr>
          <w:noProof/>
          <w:sz w:val="24"/>
          <w:szCs w:val="24"/>
          <w:lang w:val="en-US"/>
        </w:rPr>
        <w:drawing>
          <wp:anchor distT="0" distB="0" distL="114300" distR="114300" simplePos="0" relativeHeight="251658240" behindDoc="0" locked="0" layoutInCell="1" allowOverlap="1" wp14:anchorId="407CA556" wp14:editId="25BCC788">
            <wp:simplePos x="0" y="0"/>
            <wp:positionH relativeFrom="column">
              <wp:posOffset>2814320</wp:posOffset>
            </wp:positionH>
            <wp:positionV relativeFrom="paragraph">
              <wp:posOffset>542925</wp:posOffset>
            </wp:positionV>
            <wp:extent cx="2839085" cy="20669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IMF.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9085" cy="2066925"/>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lang w:val="en-US"/>
        </w:rPr>
        <w:drawing>
          <wp:anchor distT="0" distB="0" distL="114300" distR="114300" simplePos="0" relativeHeight="251659264" behindDoc="0" locked="0" layoutInCell="1" allowOverlap="1" wp14:anchorId="586AC4D3" wp14:editId="4A61D1DC">
            <wp:simplePos x="0" y="0"/>
            <wp:positionH relativeFrom="column">
              <wp:posOffset>-113665</wp:posOffset>
            </wp:positionH>
            <wp:positionV relativeFrom="paragraph">
              <wp:posOffset>542925</wp:posOffset>
            </wp:positionV>
            <wp:extent cx="2924175" cy="2128520"/>
            <wp:effectExtent l="0" t="0" r="9525" b="508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ginIMF.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4175" cy="2128520"/>
                    </a:xfrm>
                    <a:prstGeom prst="rect">
                      <a:avLst/>
                    </a:prstGeom>
                  </pic:spPr>
                </pic:pic>
              </a:graphicData>
            </a:graphic>
            <wp14:sizeRelH relativeFrom="page">
              <wp14:pctWidth>0</wp14:pctWidth>
            </wp14:sizeRelH>
            <wp14:sizeRelV relativeFrom="page">
              <wp14:pctHeight>0</wp14:pctHeight>
            </wp14:sizeRelV>
          </wp:anchor>
        </w:drawing>
      </w:r>
    </w:p>
    <w:p w14:paraId="2A7E65FA" w14:textId="7BCDC6A4" w:rsidR="00710E22" w:rsidRDefault="00710E22" w:rsidP="00856037">
      <w:pPr>
        <w:jc w:val="center"/>
        <w:outlineLvl w:val="0"/>
        <w:rPr>
          <w:sz w:val="24"/>
          <w:szCs w:val="24"/>
          <w:lang w:val="en-US"/>
        </w:rPr>
      </w:pPr>
    </w:p>
    <w:p w14:paraId="23B3B11F" w14:textId="77777777" w:rsidR="00F405BC" w:rsidRPr="00F26EF7" w:rsidRDefault="00D4646A" w:rsidP="00856037">
      <w:pPr>
        <w:jc w:val="center"/>
        <w:outlineLvl w:val="0"/>
        <w:rPr>
          <w:sz w:val="24"/>
          <w:szCs w:val="24"/>
          <w:lang w:val="en-US"/>
        </w:rPr>
      </w:pPr>
      <w:r w:rsidRPr="00F26EF7">
        <w:rPr>
          <w:sz w:val="24"/>
          <w:szCs w:val="24"/>
          <w:lang w:val="en-US"/>
        </w:rPr>
        <w:t>Figure 1: Start and end of IMF programs</w:t>
      </w:r>
    </w:p>
    <w:p w14:paraId="3F9EBC37" w14:textId="77777777" w:rsidR="00F405BC" w:rsidRPr="00F26EF7" w:rsidRDefault="00F405BC">
      <w:pPr>
        <w:rPr>
          <w:sz w:val="24"/>
          <w:szCs w:val="24"/>
          <w:lang w:val="en-US"/>
        </w:rPr>
      </w:pPr>
    </w:p>
    <w:p w14:paraId="47A76E89" w14:textId="1D4407EF" w:rsidR="00F405BC" w:rsidRPr="00F26EF7" w:rsidRDefault="00D4646A">
      <w:pPr>
        <w:rPr>
          <w:sz w:val="24"/>
          <w:szCs w:val="24"/>
          <w:lang w:val="en-US"/>
        </w:rPr>
      </w:pPr>
      <w:r w:rsidRPr="00F26EF7">
        <w:rPr>
          <w:sz w:val="24"/>
          <w:szCs w:val="24"/>
          <w:lang w:val="en-US"/>
        </w:rPr>
        <w:t xml:space="preserve">Figure 2 shows the onset dates for the different </w:t>
      </w:r>
      <w:r w:rsidR="00BC3694" w:rsidRPr="00F26EF7">
        <w:rPr>
          <w:sz w:val="24"/>
          <w:szCs w:val="24"/>
          <w:lang w:val="en-US"/>
        </w:rPr>
        <w:t xml:space="preserve">economic </w:t>
      </w:r>
      <w:r w:rsidRPr="00F26EF7">
        <w:rPr>
          <w:sz w:val="24"/>
          <w:szCs w:val="24"/>
          <w:lang w:val="en-US"/>
        </w:rPr>
        <w:t>crises in our data. When updating the</w:t>
      </w:r>
      <w:r w:rsidR="00BC3694" w:rsidRPr="00F26EF7">
        <w:rPr>
          <w:sz w:val="24"/>
          <w:szCs w:val="24"/>
          <w:lang w:val="en-US"/>
        </w:rPr>
        <w:t xml:space="preserve"> initial Leaven and Valencia</w:t>
      </w:r>
      <w:r w:rsidRPr="00F26EF7">
        <w:rPr>
          <w:sz w:val="24"/>
          <w:szCs w:val="24"/>
          <w:lang w:val="en-US"/>
        </w:rPr>
        <w:t xml:space="preserve"> data it of</w:t>
      </w:r>
      <w:r w:rsidR="00AE29D2">
        <w:rPr>
          <w:sz w:val="24"/>
          <w:szCs w:val="24"/>
          <w:lang w:val="en-US"/>
        </w:rPr>
        <w:t xml:space="preserve">ten proved </w:t>
      </w:r>
      <w:r w:rsidRPr="00F26EF7">
        <w:rPr>
          <w:sz w:val="24"/>
          <w:szCs w:val="24"/>
          <w:lang w:val="en-US"/>
        </w:rPr>
        <w:t xml:space="preserve">difficult to identify conclusive end dates for crises. We have thus focused on identifying the </w:t>
      </w:r>
      <w:r w:rsidR="007172B7" w:rsidRPr="00F26EF7">
        <w:rPr>
          <w:sz w:val="24"/>
          <w:szCs w:val="24"/>
          <w:lang w:val="en-US"/>
        </w:rPr>
        <w:t xml:space="preserve">precise </w:t>
      </w:r>
      <w:r w:rsidRPr="00F26EF7">
        <w:rPr>
          <w:sz w:val="24"/>
          <w:szCs w:val="24"/>
          <w:lang w:val="en-US"/>
        </w:rPr>
        <w:t xml:space="preserve">starting periods </w:t>
      </w:r>
      <w:r w:rsidR="007B34B8" w:rsidRPr="00F26EF7">
        <w:rPr>
          <w:sz w:val="24"/>
          <w:szCs w:val="24"/>
          <w:lang w:val="en-US"/>
        </w:rPr>
        <w:t>here</w:t>
      </w:r>
      <w:r w:rsidRPr="00F26EF7">
        <w:rPr>
          <w:sz w:val="24"/>
          <w:szCs w:val="24"/>
          <w:lang w:val="en-US"/>
        </w:rPr>
        <w:t xml:space="preserve">. In the </w:t>
      </w:r>
      <w:r w:rsidR="00BB01A4" w:rsidRPr="00F26EF7">
        <w:rPr>
          <w:sz w:val="24"/>
          <w:szCs w:val="24"/>
          <w:lang w:val="en-US"/>
        </w:rPr>
        <w:t xml:space="preserve">original </w:t>
      </w:r>
      <w:r w:rsidRPr="00F26EF7">
        <w:rPr>
          <w:sz w:val="24"/>
          <w:szCs w:val="24"/>
          <w:lang w:val="en-US"/>
        </w:rPr>
        <w:t>Leaven and Valencia</w:t>
      </w:r>
      <w:r w:rsidR="00AD6F7E" w:rsidRPr="00F26EF7">
        <w:rPr>
          <w:sz w:val="24"/>
          <w:szCs w:val="24"/>
          <w:lang w:val="en-US"/>
        </w:rPr>
        <w:t xml:space="preserve"> data</w:t>
      </w:r>
      <w:r w:rsidRPr="00F26EF7">
        <w:rPr>
          <w:sz w:val="24"/>
          <w:szCs w:val="24"/>
          <w:lang w:val="en-US"/>
        </w:rPr>
        <w:t xml:space="preserve">, the median duration of a crisis is two years, and </w:t>
      </w:r>
      <w:r w:rsidR="00BB01A4" w:rsidRPr="00F26EF7">
        <w:rPr>
          <w:sz w:val="24"/>
          <w:szCs w:val="24"/>
          <w:lang w:val="en-US"/>
        </w:rPr>
        <w:t xml:space="preserve">the authors </w:t>
      </w:r>
      <w:r w:rsidRPr="00F26EF7">
        <w:rPr>
          <w:sz w:val="24"/>
          <w:szCs w:val="24"/>
          <w:lang w:val="en-US"/>
        </w:rPr>
        <w:t xml:space="preserve">report that the main impact on real GDP occurs within the first part of the crisis. </w:t>
      </w:r>
      <w:r w:rsidR="007172B7" w:rsidRPr="00F26EF7">
        <w:rPr>
          <w:sz w:val="24"/>
          <w:szCs w:val="24"/>
          <w:lang w:val="en-US"/>
        </w:rPr>
        <w:t xml:space="preserve">In order to maximize </w:t>
      </w:r>
      <w:r w:rsidR="007172B7" w:rsidRPr="00F26EF7">
        <w:rPr>
          <w:sz w:val="24"/>
          <w:szCs w:val="24"/>
          <w:lang w:val="en-US"/>
        </w:rPr>
        <w:lastRenderedPageBreak/>
        <w:t>the data coverage in our analysis, w</w:t>
      </w:r>
      <w:r w:rsidRPr="00F26EF7">
        <w:rPr>
          <w:sz w:val="24"/>
          <w:szCs w:val="24"/>
          <w:lang w:val="en-US"/>
        </w:rPr>
        <w:t xml:space="preserve">e thus flag the </w:t>
      </w:r>
      <w:r w:rsidR="007172B7" w:rsidRPr="00F26EF7">
        <w:rPr>
          <w:sz w:val="24"/>
          <w:szCs w:val="24"/>
          <w:lang w:val="en-US"/>
        </w:rPr>
        <w:t xml:space="preserve">subsequent </w:t>
      </w:r>
      <w:r w:rsidRPr="00F26EF7">
        <w:rPr>
          <w:sz w:val="24"/>
          <w:szCs w:val="24"/>
          <w:lang w:val="en-US"/>
        </w:rPr>
        <w:t xml:space="preserve">eight quarters after the onset of a crisis as </w:t>
      </w:r>
      <w:r w:rsidR="007172B7" w:rsidRPr="00F26EF7">
        <w:rPr>
          <w:sz w:val="24"/>
          <w:szCs w:val="24"/>
          <w:lang w:val="en-US"/>
        </w:rPr>
        <w:t xml:space="preserve">the </w:t>
      </w:r>
      <w:r w:rsidRPr="00F26EF7">
        <w:rPr>
          <w:sz w:val="24"/>
          <w:szCs w:val="24"/>
          <w:lang w:val="en-US"/>
        </w:rPr>
        <w:t xml:space="preserve">period where the impact </w:t>
      </w:r>
      <w:r w:rsidR="007172B7" w:rsidRPr="00F26EF7">
        <w:rPr>
          <w:sz w:val="24"/>
          <w:szCs w:val="24"/>
          <w:lang w:val="en-US"/>
        </w:rPr>
        <w:t xml:space="preserve">of the economic crisis </w:t>
      </w:r>
      <w:r w:rsidRPr="00F26EF7">
        <w:rPr>
          <w:sz w:val="24"/>
          <w:szCs w:val="24"/>
          <w:lang w:val="en-US"/>
        </w:rPr>
        <w:t>is likely to be felt the most.</w:t>
      </w:r>
      <w:r w:rsidR="002A48CE" w:rsidRPr="00F26EF7">
        <w:rPr>
          <w:sz w:val="24"/>
          <w:szCs w:val="24"/>
          <w:lang w:val="en-US"/>
        </w:rPr>
        <w:t xml:space="preserve"> Again, we observe the largest number of crises onsets in the wake of the 2007 financial crisis that transformed </w:t>
      </w:r>
      <w:r w:rsidR="005314C6" w:rsidRPr="00F26EF7">
        <w:rPr>
          <w:sz w:val="24"/>
          <w:szCs w:val="24"/>
          <w:lang w:val="en-US"/>
        </w:rPr>
        <w:t xml:space="preserve">later on </w:t>
      </w:r>
      <w:r w:rsidR="002A48CE" w:rsidRPr="00F26EF7">
        <w:rPr>
          <w:sz w:val="24"/>
          <w:szCs w:val="24"/>
          <w:lang w:val="en-US"/>
        </w:rPr>
        <w:t>into the Great Recession in many of the affected countries.</w:t>
      </w:r>
    </w:p>
    <w:p w14:paraId="7D484E77" w14:textId="0CD7530E" w:rsidR="00F405BC" w:rsidRPr="00F26EF7" w:rsidRDefault="00D46309">
      <w:pPr>
        <w:rPr>
          <w:sz w:val="24"/>
          <w:szCs w:val="24"/>
          <w:lang w:val="en-US"/>
        </w:rPr>
      </w:pPr>
      <w:r>
        <w:rPr>
          <w:noProof/>
          <w:sz w:val="24"/>
          <w:szCs w:val="24"/>
          <w:lang w:val="en-US"/>
        </w:rPr>
        <w:drawing>
          <wp:inline distT="0" distB="0" distL="0" distR="0" wp14:anchorId="3B9A04F2" wp14:editId="42C60F92">
            <wp:extent cx="5759450" cy="41929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ses.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4192905"/>
                    </a:xfrm>
                    <a:prstGeom prst="rect">
                      <a:avLst/>
                    </a:prstGeom>
                  </pic:spPr>
                </pic:pic>
              </a:graphicData>
            </a:graphic>
          </wp:inline>
        </w:drawing>
      </w:r>
    </w:p>
    <w:p w14:paraId="59F71D1F" w14:textId="77777777" w:rsidR="00F405BC" w:rsidRPr="00F26EF7" w:rsidRDefault="00D4646A" w:rsidP="00856037">
      <w:pPr>
        <w:outlineLvl w:val="0"/>
        <w:rPr>
          <w:sz w:val="24"/>
          <w:szCs w:val="24"/>
          <w:lang w:val="en-US"/>
        </w:rPr>
      </w:pPr>
      <w:r w:rsidRPr="00F26EF7">
        <w:rPr>
          <w:sz w:val="24"/>
          <w:szCs w:val="24"/>
          <w:lang w:val="en-US"/>
        </w:rPr>
        <w:t>Figure 2: Crises start dates</w:t>
      </w:r>
    </w:p>
    <w:p w14:paraId="78250BB2" w14:textId="77777777" w:rsidR="00F405BC" w:rsidRPr="00F26EF7" w:rsidRDefault="00F405BC">
      <w:pPr>
        <w:rPr>
          <w:sz w:val="24"/>
          <w:szCs w:val="24"/>
          <w:lang w:val="en-US"/>
        </w:rPr>
      </w:pPr>
    </w:p>
    <w:p w14:paraId="403E98E9" w14:textId="0ECF4D4E" w:rsidR="00F405BC" w:rsidRPr="00F26EF7" w:rsidRDefault="00D4646A">
      <w:pPr>
        <w:rPr>
          <w:sz w:val="24"/>
          <w:szCs w:val="24"/>
          <w:lang w:val="en-US"/>
        </w:rPr>
      </w:pPr>
      <w:r w:rsidRPr="00F26EF7">
        <w:rPr>
          <w:sz w:val="24"/>
          <w:szCs w:val="24"/>
          <w:lang w:val="en-US"/>
        </w:rPr>
        <w:t xml:space="preserve">In Figure 3 we display the total count of violent and </w:t>
      </w:r>
      <w:r w:rsidR="005D3E4B" w:rsidRPr="00F26EF7">
        <w:rPr>
          <w:sz w:val="24"/>
          <w:szCs w:val="24"/>
          <w:lang w:val="en-US"/>
        </w:rPr>
        <w:t>nonviol</w:t>
      </w:r>
      <w:r w:rsidRPr="00F26EF7">
        <w:rPr>
          <w:sz w:val="24"/>
          <w:szCs w:val="24"/>
          <w:lang w:val="en-US"/>
        </w:rPr>
        <w:t xml:space="preserve">ent protest events by country quarters. In Table 1 we show the presence/absence of either event by country quarters. It is clear from these </w:t>
      </w:r>
      <w:r w:rsidR="00CE552A" w:rsidRPr="00F26EF7">
        <w:rPr>
          <w:sz w:val="24"/>
          <w:szCs w:val="24"/>
          <w:lang w:val="en-US"/>
        </w:rPr>
        <w:t xml:space="preserve">results </w:t>
      </w:r>
      <w:r w:rsidRPr="00F26EF7">
        <w:rPr>
          <w:sz w:val="24"/>
          <w:szCs w:val="24"/>
          <w:lang w:val="en-US"/>
        </w:rPr>
        <w:t xml:space="preserve">that protest events are substantially more common than violent events in the UCDP data, i.e., events that occur in the context of a civil </w:t>
      </w:r>
      <w:r w:rsidR="007D4B31" w:rsidRPr="00F26EF7">
        <w:rPr>
          <w:sz w:val="24"/>
          <w:szCs w:val="24"/>
          <w:lang w:val="en-US"/>
        </w:rPr>
        <w:t xml:space="preserve">conflict with more than 25 </w:t>
      </w:r>
      <w:r w:rsidR="000157C7" w:rsidRPr="00F26EF7">
        <w:rPr>
          <w:sz w:val="24"/>
          <w:szCs w:val="24"/>
          <w:lang w:val="en-US"/>
        </w:rPr>
        <w:t>battle</w:t>
      </w:r>
      <w:r w:rsidR="007D4B31" w:rsidRPr="00F26EF7">
        <w:rPr>
          <w:sz w:val="24"/>
          <w:szCs w:val="24"/>
          <w:lang w:val="en-US"/>
        </w:rPr>
        <w:t>deaths</w:t>
      </w:r>
      <w:r w:rsidRPr="00F26EF7">
        <w:rPr>
          <w:sz w:val="24"/>
          <w:szCs w:val="24"/>
          <w:lang w:val="en-US"/>
        </w:rPr>
        <w:t>. The former occur in about 38.5% of the observations w</w:t>
      </w:r>
      <w:r w:rsidR="00E6366E" w:rsidRPr="00F26EF7">
        <w:rPr>
          <w:sz w:val="24"/>
          <w:szCs w:val="24"/>
          <w:lang w:val="en-US"/>
        </w:rPr>
        <w:t>hile the latter occur in only 10</w:t>
      </w:r>
      <w:r w:rsidRPr="00F26EF7">
        <w:rPr>
          <w:sz w:val="24"/>
          <w:szCs w:val="24"/>
          <w:lang w:val="en-US"/>
        </w:rPr>
        <w:t>.</w:t>
      </w:r>
      <w:r w:rsidR="00E6366E" w:rsidRPr="00F26EF7">
        <w:rPr>
          <w:sz w:val="24"/>
          <w:szCs w:val="24"/>
          <w:lang w:val="en-US"/>
        </w:rPr>
        <w:t xml:space="preserve">7 </w:t>
      </w:r>
      <w:r w:rsidRPr="00F26EF7">
        <w:rPr>
          <w:sz w:val="24"/>
          <w:szCs w:val="24"/>
          <w:lang w:val="en-US"/>
        </w:rPr>
        <w:t>%. And although most violent events also see protest, the reverse is not the case</w:t>
      </w:r>
      <w:r w:rsidR="009C7F72" w:rsidRPr="00F26EF7">
        <w:rPr>
          <w:sz w:val="24"/>
          <w:szCs w:val="24"/>
          <w:lang w:val="en-US"/>
        </w:rPr>
        <w:t>,</w:t>
      </w:r>
      <w:r w:rsidRPr="00F26EF7">
        <w:rPr>
          <w:sz w:val="24"/>
          <w:szCs w:val="24"/>
          <w:lang w:val="en-US"/>
        </w:rPr>
        <w:t xml:space="preserve"> as </w:t>
      </w:r>
      <w:r w:rsidR="00E6366E" w:rsidRPr="00F26EF7">
        <w:rPr>
          <w:sz w:val="24"/>
          <w:szCs w:val="24"/>
          <w:lang w:val="en-US"/>
        </w:rPr>
        <w:t xml:space="preserve">more than </w:t>
      </w:r>
      <w:r w:rsidRPr="00F26EF7">
        <w:rPr>
          <w:sz w:val="24"/>
          <w:szCs w:val="24"/>
          <w:lang w:val="en-US"/>
        </w:rPr>
        <w:t xml:space="preserve">3/4 of the protest incidents do not entail any violent events.  </w:t>
      </w:r>
      <w:r w:rsidR="00E325EB">
        <w:rPr>
          <w:sz w:val="24"/>
          <w:szCs w:val="24"/>
          <w:lang w:val="en-US"/>
        </w:rPr>
        <w:t xml:space="preserve">As we </w:t>
      </w:r>
      <w:r w:rsidR="00BC7FAB">
        <w:rPr>
          <w:sz w:val="24"/>
          <w:szCs w:val="24"/>
          <w:lang w:val="en-US"/>
        </w:rPr>
        <w:t xml:space="preserve">have </w:t>
      </w:r>
      <w:r w:rsidR="00E325EB">
        <w:rPr>
          <w:sz w:val="24"/>
          <w:szCs w:val="24"/>
          <w:lang w:val="en-US"/>
        </w:rPr>
        <w:t xml:space="preserve">surmised, </w:t>
      </w:r>
      <w:r w:rsidRPr="00F26EF7">
        <w:rPr>
          <w:sz w:val="24"/>
          <w:szCs w:val="24"/>
          <w:lang w:val="en-US"/>
        </w:rPr>
        <w:t>there is a higher overlap between IMF program</w:t>
      </w:r>
      <w:r w:rsidR="00737D9B" w:rsidRPr="00F26EF7">
        <w:rPr>
          <w:sz w:val="24"/>
          <w:szCs w:val="24"/>
          <w:lang w:val="en-US"/>
        </w:rPr>
        <w:t>s</w:t>
      </w:r>
      <w:r w:rsidRPr="00F26EF7">
        <w:rPr>
          <w:sz w:val="24"/>
          <w:szCs w:val="24"/>
          <w:lang w:val="en-US"/>
        </w:rPr>
        <w:t xml:space="preserve"> and </w:t>
      </w:r>
      <w:r w:rsidR="009C7F72" w:rsidRPr="00F26EF7">
        <w:rPr>
          <w:sz w:val="24"/>
          <w:szCs w:val="24"/>
          <w:lang w:val="en-US"/>
        </w:rPr>
        <w:t xml:space="preserve">the occurrence of </w:t>
      </w:r>
      <w:r w:rsidR="005D3E4B" w:rsidRPr="00F26EF7">
        <w:rPr>
          <w:sz w:val="24"/>
          <w:szCs w:val="24"/>
          <w:lang w:val="en-US"/>
        </w:rPr>
        <w:t>nonviol</w:t>
      </w:r>
      <w:r w:rsidR="009C7F72" w:rsidRPr="00F26EF7">
        <w:rPr>
          <w:sz w:val="24"/>
          <w:szCs w:val="24"/>
          <w:lang w:val="en-US"/>
        </w:rPr>
        <w:t xml:space="preserve">ent </w:t>
      </w:r>
      <w:r w:rsidRPr="00F26EF7">
        <w:rPr>
          <w:sz w:val="24"/>
          <w:szCs w:val="24"/>
          <w:lang w:val="en-US"/>
        </w:rPr>
        <w:t xml:space="preserve">protests than </w:t>
      </w:r>
      <w:r w:rsidR="00E325EB">
        <w:rPr>
          <w:sz w:val="24"/>
          <w:szCs w:val="24"/>
          <w:lang w:val="en-US"/>
        </w:rPr>
        <w:t xml:space="preserve">between </w:t>
      </w:r>
      <w:r w:rsidRPr="00F26EF7">
        <w:rPr>
          <w:sz w:val="24"/>
          <w:szCs w:val="24"/>
          <w:lang w:val="en-US"/>
        </w:rPr>
        <w:t xml:space="preserve">IMF programs and violence. </w:t>
      </w:r>
    </w:p>
    <w:p w14:paraId="3C7CF631" w14:textId="77777777" w:rsidR="00F405BC" w:rsidRPr="00F26EF7" w:rsidRDefault="00D4646A">
      <w:pPr>
        <w:rPr>
          <w:sz w:val="24"/>
          <w:szCs w:val="24"/>
          <w:lang w:val="en-US"/>
        </w:rPr>
      </w:pPr>
      <w:r w:rsidRPr="00F26EF7">
        <w:rPr>
          <w:noProof/>
          <w:lang w:val="en-US"/>
        </w:rPr>
        <w:lastRenderedPageBreak/>
        <w:drawing>
          <wp:inline distT="0" distB="0" distL="0" distR="0" wp14:anchorId="720EC2BF" wp14:editId="3B521EAF">
            <wp:extent cx="5759450" cy="4192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stretch>
                      <a:fillRect/>
                    </a:stretch>
                  </pic:blipFill>
                  <pic:spPr bwMode="auto">
                    <a:xfrm>
                      <a:off x="0" y="0"/>
                      <a:ext cx="5759450" cy="4192905"/>
                    </a:xfrm>
                    <a:prstGeom prst="rect">
                      <a:avLst/>
                    </a:prstGeom>
                  </pic:spPr>
                </pic:pic>
              </a:graphicData>
            </a:graphic>
          </wp:inline>
        </w:drawing>
      </w:r>
    </w:p>
    <w:p w14:paraId="20FD7D96" w14:textId="4D1D3EE3" w:rsidR="00F405BC" w:rsidRPr="00F26EF7" w:rsidRDefault="00D4646A">
      <w:pPr>
        <w:rPr>
          <w:sz w:val="24"/>
          <w:szCs w:val="24"/>
          <w:lang w:val="en-US"/>
        </w:rPr>
      </w:pPr>
      <w:r w:rsidRPr="00F26EF7">
        <w:rPr>
          <w:sz w:val="24"/>
          <w:szCs w:val="24"/>
          <w:lang w:val="en-US"/>
        </w:rPr>
        <w:t xml:space="preserve">Figure 3: Number of violent (UCDP) and </w:t>
      </w:r>
      <w:r w:rsidR="005D3E4B" w:rsidRPr="00F26EF7">
        <w:rPr>
          <w:sz w:val="24"/>
          <w:szCs w:val="24"/>
          <w:lang w:val="en-US"/>
        </w:rPr>
        <w:t>nonviol</w:t>
      </w:r>
      <w:r w:rsidRPr="00F26EF7">
        <w:rPr>
          <w:sz w:val="24"/>
          <w:szCs w:val="24"/>
          <w:lang w:val="en-US"/>
        </w:rPr>
        <w:t>ent protest (ICEWS) events by quarter and country</w:t>
      </w:r>
    </w:p>
    <w:p w14:paraId="1FA7C353" w14:textId="329CDB46" w:rsidR="00AE29D2" w:rsidRDefault="00AE29D2">
      <w:pPr>
        <w:spacing w:after="0" w:line="240" w:lineRule="auto"/>
        <w:jc w:val="left"/>
        <w:rPr>
          <w:sz w:val="24"/>
          <w:szCs w:val="24"/>
          <w:lang w:val="en-US"/>
        </w:rPr>
      </w:pPr>
    </w:p>
    <w:p w14:paraId="7F08B8FC" w14:textId="55F12866" w:rsidR="00F405BC" w:rsidRPr="00F26EF7" w:rsidRDefault="00D4646A" w:rsidP="00856037">
      <w:pPr>
        <w:jc w:val="center"/>
        <w:outlineLvl w:val="0"/>
        <w:rPr>
          <w:sz w:val="24"/>
          <w:szCs w:val="24"/>
          <w:lang w:val="en-US"/>
        </w:rPr>
      </w:pPr>
      <w:r w:rsidRPr="00F26EF7">
        <w:rPr>
          <w:sz w:val="24"/>
          <w:szCs w:val="24"/>
          <w:lang w:val="en-US"/>
        </w:rPr>
        <w:t>Table 1: Binary conflict by country quarter</w:t>
      </w:r>
    </w:p>
    <w:tbl>
      <w:tblPr>
        <w:tblW w:w="4631" w:type="dxa"/>
        <w:tblInd w:w="2107" w:type="dxa"/>
        <w:tblBorders>
          <w:top w:val="single" w:sz="6" w:space="0" w:color="00000A"/>
        </w:tblBorders>
        <w:tblCellMar>
          <w:left w:w="75" w:type="dxa"/>
          <w:right w:w="75" w:type="dxa"/>
        </w:tblCellMar>
        <w:tblLook w:val="0000" w:firstRow="0" w:lastRow="0" w:firstColumn="0" w:lastColumn="0" w:noHBand="0" w:noVBand="0"/>
      </w:tblPr>
      <w:tblGrid>
        <w:gridCol w:w="1370"/>
        <w:gridCol w:w="1084"/>
        <w:gridCol w:w="334"/>
        <w:gridCol w:w="1843"/>
      </w:tblGrid>
      <w:tr w:rsidR="00F405BC" w:rsidRPr="00F26EF7" w14:paraId="493CD414" w14:textId="77777777" w:rsidTr="00AE29D2">
        <w:tc>
          <w:tcPr>
            <w:tcW w:w="1370" w:type="dxa"/>
            <w:tcBorders>
              <w:top w:val="single" w:sz="6" w:space="0" w:color="00000A"/>
            </w:tcBorders>
            <w:shd w:val="clear" w:color="auto" w:fill="auto"/>
          </w:tcPr>
          <w:p w14:paraId="0CADA8F1" w14:textId="77777777" w:rsidR="00F405BC" w:rsidRPr="00F26EF7" w:rsidRDefault="00F405BC">
            <w:pPr>
              <w:widowControl w:val="0"/>
              <w:spacing w:after="0" w:line="240" w:lineRule="auto"/>
              <w:rPr>
                <w:rFonts w:cs="Times New Roman"/>
                <w:sz w:val="24"/>
                <w:szCs w:val="24"/>
                <w:lang w:val="en-US"/>
              </w:rPr>
            </w:pPr>
          </w:p>
        </w:tc>
        <w:tc>
          <w:tcPr>
            <w:tcW w:w="1418" w:type="dxa"/>
            <w:gridSpan w:val="2"/>
            <w:tcBorders>
              <w:top w:val="single" w:sz="6" w:space="0" w:color="00000A"/>
            </w:tcBorders>
            <w:shd w:val="clear" w:color="auto" w:fill="auto"/>
          </w:tcPr>
          <w:p w14:paraId="7D36CFBB"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No violence</w:t>
            </w:r>
          </w:p>
        </w:tc>
        <w:tc>
          <w:tcPr>
            <w:tcW w:w="1843" w:type="dxa"/>
            <w:tcBorders>
              <w:top w:val="single" w:sz="6" w:space="0" w:color="00000A"/>
            </w:tcBorders>
            <w:shd w:val="clear" w:color="auto" w:fill="auto"/>
          </w:tcPr>
          <w:p w14:paraId="3ACC4340"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Violence</w:t>
            </w:r>
          </w:p>
        </w:tc>
      </w:tr>
      <w:tr w:rsidR="00F405BC" w:rsidRPr="00F26EF7" w14:paraId="3A5B8584" w14:textId="77777777" w:rsidTr="00AE29D2">
        <w:tc>
          <w:tcPr>
            <w:tcW w:w="1370" w:type="dxa"/>
            <w:tcBorders>
              <w:top w:val="single" w:sz="6" w:space="0" w:color="00000A"/>
              <w:bottom w:val="single" w:sz="6" w:space="0" w:color="00000A"/>
            </w:tcBorders>
            <w:shd w:val="clear" w:color="auto" w:fill="auto"/>
          </w:tcPr>
          <w:p w14:paraId="3DA0D756" w14:textId="77777777" w:rsidR="00F405BC" w:rsidRPr="00F26EF7" w:rsidRDefault="00F405BC">
            <w:pPr>
              <w:widowControl w:val="0"/>
              <w:spacing w:after="0" w:line="240" w:lineRule="auto"/>
              <w:rPr>
                <w:rFonts w:cs="Times New Roman"/>
                <w:sz w:val="24"/>
                <w:szCs w:val="24"/>
                <w:lang w:val="en-US"/>
              </w:rPr>
            </w:pPr>
          </w:p>
        </w:tc>
        <w:tc>
          <w:tcPr>
            <w:tcW w:w="1084" w:type="dxa"/>
            <w:tcBorders>
              <w:top w:val="single" w:sz="6" w:space="0" w:color="00000A"/>
              <w:bottom w:val="single" w:sz="6" w:space="0" w:color="00000A"/>
            </w:tcBorders>
            <w:shd w:val="clear" w:color="auto" w:fill="auto"/>
          </w:tcPr>
          <w:p w14:paraId="5E71D070"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(Percent)</w:t>
            </w:r>
          </w:p>
        </w:tc>
        <w:tc>
          <w:tcPr>
            <w:tcW w:w="2177" w:type="dxa"/>
            <w:gridSpan w:val="2"/>
            <w:tcBorders>
              <w:top w:val="single" w:sz="6" w:space="0" w:color="00000A"/>
              <w:bottom w:val="single" w:sz="6" w:space="0" w:color="00000A"/>
            </w:tcBorders>
            <w:shd w:val="clear" w:color="auto" w:fill="auto"/>
          </w:tcPr>
          <w:p w14:paraId="4F563C7E"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(Percent)</w:t>
            </w:r>
          </w:p>
        </w:tc>
      </w:tr>
      <w:tr w:rsidR="00F405BC" w:rsidRPr="00F26EF7" w14:paraId="5926A28A" w14:textId="77777777" w:rsidTr="00AE29D2">
        <w:tc>
          <w:tcPr>
            <w:tcW w:w="1370" w:type="dxa"/>
            <w:shd w:val="clear" w:color="auto" w:fill="auto"/>
          </w:tcPr>
          <w:p w14:paraId="641DE754" w14:textId="77777777" w:rsidR="00F405BC" w:rsidRPr="00F26EF7" w:rsidRDefault="00F405BC">
            <w:pPr>
              <w:widowControl w:val="0"/>
              <w:spacing w:after="0" w:line="240" w:lineRule="auto"/>
              <w:rPr>
                <w:rFonts w:cs="Times New Roman"/>
                <w:sz w:val="24"/>
                <w:szCs w:val="24"/>
                <w:lang w:val="en-US"/>
              </w:rPr>
            </w:pPr>
          </w:p>
        </w:tc>
        <w:tc>
          <w:tcPr>
            <w:tcW w:w="1084" w:type="dxa"/>
            <w:shd w:val="clear" w:color="auto" w:fill="auto"/>
          </w:tcPr>
          <w:p w14:paraId="6A405B34" w14:textId="77777777" w:rsidR="00F405BC" w:rsidRPr="00F26EF7" w:rsidRDefault="00F405BC">
            <w:pPr>
              <w:widowControl w:val="0"/>
              <w:spacing w:after="0" w:line="240" w:lineRule="auto"/>
              <w:jc w:val="center"/>
              <w:rPr>
                <w:rFonts w:cs="Times New Roman"/>
                <w:sz w:val="24"/>
                <w:szCs w:val="24"/>
                <w:lang w:val="en-US"/>
              </w:rPr>
            </w:pPr>
          </w:p>
        </w:tc>
        <w:tc>
          <w:tcPr>
            <w:tcW w:w="2177" w:type="dxa"/>
            <w:gridSpan w:val="2"/>
            <w:shd w:val="clear" w:color="auto" w:fill="auto"/>
          </w:tcPr>
          <w:p w14:paraId="41F7C3FD" w14:textId="77777777" w:rsidR="00F405BC" w:rsidRPr="00F26EF7" w:rsidRDefault="00F405BC">
            <w:pPr>
              <w:widowControl w:val="0"/>
              <w:spacing w:after="0" w:line="240" w:lineRule="auto"/>
              <w:jc w:val="center"/>
              <w:rPr>
                <w:rFonts w:cs="Times New Roman"/>
                <w:sz w:val="24"/>
                <w:szCs w:val="24"/>
                <w:lang w:val="en-US"/>
              </w:rPr>
            </w:pPr>
          </w:p>
        </w:tc>
      </w:tr>
      <w:tr w:rsidR="00F405BC" w:rsidRPr="00F26EF7" w14:paraId="5A7363D2" w14:textId="77777777" w:rsidTr="00AE29D2">
        <w:tc>
          <w:tcPr>
            <w:tcW w:w="1370" w:type="dxa"/>
            <w:shd w:val="clear" w:color="auto" w:fill="auto"/>
          </w:tcPr>
          <w:p w14:paraId="3A367BF9" w14:textId="77777777" w:rsidR="00F405BC" w:rsidRPr="00F26EF7" w:rsidRDefault="00D4646A">
            <w:pPr>
              <w:widowControl w:val="0"/>
              <w:spacing w:after="0" w:line="240" w:lineRule="auto"/>
              <w:rPr>
                <w:rFonts w:cs="Times New Roman"/>
                <w:sz w:val="24"/>
                <w:szCs w:val="24"/>
                <w:lang w:val="en-US"/>
              </w:rPr>
            </w:pPr>
            <w:r w:rsidRPr="00F26EF7">
              <w:rPr>
                <w:rFonts w:cs="Times New Roman"/>
                <w:sz w:val="24"/>
                <w:szCs w:val="24"/>
                <w:lang w:val="en-US"/>
              </w:rPr>
              <w:t>No protest</w:t>
            </w:r>
          </w:p>
        </w:tc>
        <w:tc>
          <w:tcPr>
            <w:tcW w:w="1084" w:type="dxa"/>
            <w:shd w:val="clear" w:color="auto" w:fill="auto"/>
          </w:tcPr>
          <w:p w14:paraId="573ED240"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10,385</w:t>
            </w:r>
          </w:p>
        </w:tc>
        <w:tc>
          <w:tcPr>
            <w:tcW w:w="2177" w:type="dxa"/>
            <w:gridSpan w:val="2"/>
            <w:shd w:val="clear" w:color="auto" w:fill="auto"/>
          </w:tcPr>
          <w:p w14:paraId="2014D671" w14:textId="4AF44751" w:rsidR="00F405BC" w:rsidRPr="00F26EF7" w:rsidRDefault="003106BB">
            <w:pPr>
              <w:widowControl w:val="0"/>
              <w:spacing w:after="0" w:line="240" w:lineRule="auto"/>
              <w:jc w:val="center"/>
              <w:rPr>
                <w:rFonts w:cs="Times New Roman"/>
                <w:sz w:val="24"/>
                <w:szCs w:val="24"/>
                <w:lang w:val="en-US"/>
              </w:rPr>
            </w:pPr>
            <w:r w:rsidRPr="00F26EF7">
              <w:rPr>
                <w:rFonts w:cs="Times New Roman"/>
                <w:sz w:val="24"/>
                <w:szCs w:val="24"/>
                <w:lang w:val="en-US"/>
              </w:rPr>
              <w:t>435</w:t>
            </w:r>
          </w:p>
        </w:tc>
      </w:tr>
      <w:tr w:rsidR="00F405BC" w:rsidRPr="00F26EF7" w14:paraId="04617227" w14:textId="77777777" w:rsidTr="00AE29D2">
        <w:tc>
          <w:tcPr>
            <w:tcW w:w="1370" w:type="dxa"/>
            <w:shd w:val="clear" w:color="auto" w:fill="auto"/>
          </w:tcPr>
          <w:p w14:paraId="17C96707" w14:textId="77777777" w:rsidR="00F405BC" w:rsidRPr="00F26EF7" w:rsidRDefault="00F405BC">
            <w:pPr>
              <w:widowControl w:val="0"/>
              <w:spacing w:after="0" w:line="240" w:lineRule="auto"/>
              <w:rPr>
                <w:rFonts w:cs="Times New Roman"/>
                <w:sz w:val="24"/>
                <w:szCs w:val="24"/>
                <w:lang w:val="en-US"/>
              </w:rPr>
            </w:pPr>
          </w:p>
        </w:tc>
        <w:tc>
          <w:tcPr>
            <w:tcW w:w="1084" w:type="dxa"/>
            <w:shd w:val="clear" w:color="auto" w:fill="auto"/>
          </w:tcPr>
          <w:p w14:paraId="24823510" w14:textId="77777777" w:rsidR="00F405BC" w:rsidRPr="00F26EF7" w:rsidRDefault="00F405BC">
            <w:pPr>
              <w:widowControl w:val="0"/>
              <w:spacing w:after="0" w:line="240" w:lineRule="auto"/>
              <w:jc w:val="center"/>
              <w:rPr>
                <w:rFonts w:cs="Times New Roman"/>
                <w:sz w:val="24"/>
                <w:szCs w:val="24"/>
                <w:lang w:val="en-US"/>
              </w:rPr>
            </w:pPr>
          </w:p>
        </w:tc>
        <w:tc>
          <w:tcPr>
            <w:tcW w:w="2177" w:type="dxa"/>
            <w:gridSpan w:val="2"/>
            <w:shd w:val="clear" w:color="auto" w:fill="auto"/>
          </w:tcPr>
          <w:p w14:paraId="323A5F29" w14:textId="77777777" w:rsidR="00F405BC" w:rsidRPr="00F26EF7" w:rsidRDefault="00F405BC">
            <w:pPr>
              <w:widowControl w:val="0"/>
              <w:spacing w:after="0" w:line="240" w:lineRule="auto"/>
              <w:jc w:val="center"/>
              <w:rPr>
                <w:rFonts w:cs="Times New Roman"/>
                <w:sz w:val="24"/>
                <w:szCs w:val="24"/>
                <w:lang w:val="en-US"/>
              </w:rPr>
            </w:pPr>
          </w:p>
        </w:tc>
      </w:tr>
      <w:tr w:rsidR="00F405BC" w:rsidRPr="00F26EF7" w14:paraId="41F2E06E" w14:textId="77777777" w:rsidTr="00AE29D2">
        <w:tc>
          <w:tcPr>
            <w:tcW w:w="1370" w:type="dxa"/>
            <w:shd w:val="clear" w:color="auto" w:fill="auto"/>
          </w:tcPr>
          <w:p w14:paraId="2964F5DF" w14:textId="77777777" w:rsidR="00F405BC" w:rsidRPr="00F26EF7" w:rsidRDefault="00D4646A">
            <w:pPr>
              <w:widowControl w:val="0"/>
              <w:spacing w:after="0" w:line="240" w:lineRule="auto"/>
              <w:rPr>
                <w:rFonts w:cs="Times New Roman"/>
                <w:sz w:val="24"/>
                <w:szCs w:val="24"/>
                <w:lang w:val="en-US"/>
              </w:rPr>
            </w:pPr>
            <w:r w:rsidRPr="00F26EF7">
              <w:rPr>
                <w:rFonts w:cs="Times New Roman"/>
                <w:sz w:val="24"/>
                <w:szCs w:val="24"/>
                <w:lang w:val="en-US"/>
              </w:rPr>
              <w:t>Protest</w:t>
            </w:r>
          </w:p>
        </w:tc>
        <w:tc>
          <w:tcPr>
            <w:tcW w:w="1084" w:type="dxa"/>
            <w:shd w:val="clear" w:color="auto" w:fill="auto"/>
          </w:tcPr>
          <w:p w14:paraId="21392C3A" w14:textId="3412C528" w:rsidR="00F405BC" w:rsidRPr="00F26EF7" w:rsidRDefault="003106BB">
            <w:pPr>
              <w:widowControl w:val="0"/>
              <w:spacing w:after="0" w:line="240" w:lineRule="auto"/>
              <w:jc w:val="center"/>
              <w:rPr>
                <w:rFonts w:cs="Times New Roman"/>
                <w:sz w:val="24"/>
                <w:szCs w:val="24"/>
                <w:lang w:val="en-US"/>
              </w:rPr>
            </w:pPr>
            <w:r w:rsidRPr="00F26EF7">
              <w:rPr>
                <w:rFonts w:cs="Times New Roman"/>
                <w:sz w:val="24"/>
                <w:szCs w:val="24"/>
                <w:lang w:val="en-US"/>
              </w:rPr>
              <w:t>5,290</w:t>
            </w:r>
          </w:p>
        </w:tc>
        <w:tc>
          <w:tcPr>
            <w:tcW w:w="2177" w:type="dxa"/>
            <w:gridSpan w:val="2"/>
            <w:shd w:val="clear" w:color="auto" w:fill="auto"/>
          </w:tcPr>
          <w:p w14:paraId="29627A19" w14:textId="01EB7E18" w:rsidR="00F405BC" w:rsidRPr="00F26EF7" w:rsidRDefault="00D4646A" w:rsidP="003106BB">
            <w:pPr>
              <w:widowControl w:val="0"/>
              <w:spacing w:after="0" w:line="240" w:lineRule="auto"/>
              <w:jc w:val="center"/>
              <w:rPr>
                <w:rFonts w:cs="Times New Roman"/>
                <w:sz w:val="24"/>
                <w:szCs w:val="24"/>
                <w:lang w:val="en-US"/>
              </w:rPr>
            </w:pPr>
            <w:r w:rsidRPr="00F26EF7">
              <w:rPr>
                <w:rFonts w:cs="Times New Roman"/>
                <w:sz w:val="24"/>
                <w:szCs w:val="24"/>
                <w:lang w:val="en-US"/>
              </w:rPr>
              <w:t>1,</w:t>
            </w:r>
            <w:r w:rsidR="003106BB" w:rsidRPr="00F26EF7">
              <w:rPr>
                <w:rFonts w:cs="Times New Roman"/>
                <w:sz w:val="24"/>
                <w:szCs w:val="24"/>
                <w:lang w:val="en-US"/>
              </w:rPr>
              <w:t>434</w:t>
            </w:r>
          </w:p>
        </w:tc>
      </w:tr>
      <w:tr w:rsidR="00F405BC" w:rsidRPr="00F26EF7" w14:paraId="07B545B7" w14:textId="77777777" w:rsidTr="00AE29D2">
        <w:tc>
          <w:tcPr>
            <w:tcW w:w="1370" w:type="dxa"/>
            <w:shd w:val="clear" w:color="auto" w:fill="auto"/>
          </w:tcPr>
          <w:p w14:paraId="1D98C384" w14:textId="77777777" w:rsidR="00F405BC" w:rsidRPr="00F26EF7" w:rsidRDefault="00F405BC">
            <w:pPr>
              <w:widowControl w:val="0"/>
              <w:spacing w:after="0" w:line="240" w:lineRule="auto"/>
              <w:rPr>
                <w:rFonts w:cs="Times New Roman"/>
                <w:sz w:val="24"/>
                <w:szCs w:val="24"/>
                <w:lang w:val="en-US"/>
              </w:rPr>
            </w:pPr>
          </w:p>
        </w:tc>
        <w:tc>
          <w:tcPr>
            <w:tcW w:w="1084" w:type="dxa"/>
            <w:shd w:val="clear" w:color="auto" w:fill="auto"/>
          </w:tcPr>
          <w:p w14:paraId="0891537B" w14:textId="77777777" w:rsidR="00F405BC" w:rsidRPr="00F26EF7" w:rsidRDefault="00F405BC">
            <w:pPr>
              <w:widowControl w:val="0"/>
              <w:spacing w:after="0" w:line="240" w:lineRule="auto"/>
              <w:jc w:val="center"/>
              <w:rPr>
                <w:rFonts w:cs="Times New Roman"/>
                <w:sz w:val="24"/>
                <w:szCs w:val="24"/>
                <w:lang w:val="en-US"/>
              </w:rPr>
            </w:pPr>
          </w:p>
        </w:tc>
        <w:tc>
          <w:tcPr>
            <w:tcW w:w="2177" w:type="dxa"/>
            <w:gridSpan w:val="2"/>
            <w:shd w:val="clear" w:color="auto" w:fill="auto"/>
          </w:tcPr>
          <w:p w14:paraId="4A3C55D2" w14:textId="77777777" w:rsidR="00F405BC" w:rsidRPr="00F26EF7" w:rsidRDefault="00F405BC">
            <w:pPr>
              <w:widowControl w:val="0"/>
              <w:spacing w:after="0" w:line="240" w:lineRule="auto"/>
              <w:jc w:val="center"/>
              <w:rPr>
                <w:rFonts w:cs="Times New Roman"/>
                <w:sz w:val="24"/>
                <w:szCs w:val="24"/>
                <w:lang w:val="en-US"/>
              </w:rPr>
            </w:pPr>
          </w:p>
        </w:tc>
      </w:tr>
      <w:tr w:rsidR="00F405BC" w:rsidRPr="00F26EF7" w14:paraId="4B45F726" w14:textId="77777777" w:rsidTr="00AE29D2">
        <w:tc>
          <w:tcPr>
            <w:tcW w:w="1370" w:type="dxa"/>
            <w:tcBorders>
              <w:top w:val="single" w:sz="6" w:space="0" w:color="00000A"/>
              <w:bottom w:val="single" w:sz="6" w:space="0" w:color="00000A"/>
            </w:tcBorders>
            <w:shd w:val="clear" w:color="auto" w:fill="auto"/>
          </w:tcPr>
          <w:p w14:paraId="50402A96" w14:textId="77777777" w:rsidR="00F405BC" w:rsidRPr="00F26EF7" w:rsidRDefault="00D4646A">
            <w:pPr>
              <w:widowControl w:val="0"/>
              <w:spacing w:after="0" w:line="240" w:lineRule="auto"/>
              <w:rPr>
                <w:rFonts w:cs="Times New Roman"/>
                <w:sz w:val="24"/>
                <w:szCs w:val="24"/>
                <w:lang w:val="en-US"/>
              </w:rPr>
            </w:pPr>
            <w:r w:rsidRPr="00F26EF7">
              <w:rPr>
                <w:rFonts w:cs="Times New Roman"/>
                <w:sz w:val="24"/>
                <w:szCs w:val="24"/>
                <w:lang w:val="en-US"/>
              </w:rPr>
              <w:t>Total</w:t>
            </w:r>
          </w:p>
        </w:tc>
        <w:tc>
          <w:tcPr>
            <w:tcW w:w="1084" w:type="dxa"/>
            <w:tcBorders>
              <w:top w:val="single" w:sz="6" w:space="0" w:color="00000A"/>
              <w:bottom w:val="single" w:sz="6" w:space="0" w:color="00000A"/>
            </w:tcBorders>
            <w:shd w:val="clear" w:color="auto" w:fill="auto"/>
          </w:tcPr>
          <w:p w14:paraId="48AEA3AB" w14:textId="20D91476" w:rsidR="00F405BC" w:rsidRPr="00F26EF7" w:rsidRDefault="00E6366E">
            <w:pPr>
              <w:widowControl w:val="0"/>
              <w:spacing w:after="0" w:line="240" w:lineRule="auto"/>
              <w:jc w:val="center"/>
              <w:rPr>
                <w:rFonts w:cs="Times New Roman"/>
                <w:sz w:val="24"/>
                <w:szCs w:val="24"/>
                <w:lang w:val="en-US"/>
              </w:rPr>
            </w:pPr>
            <w:r w:rsidRPr="00F26EF7">
              <w:rPr>
                <w:rFonts w:cs="Times New Roman"/>
                <w:sz w:val="24"/>
                <w:szCs w:val="24"/>
                <w:lang w:val="en-US"/>
              </w:rPr>
              <w:t>1,</w:t>
            </w:r>
            <w:r w:rsidR="005F4FAB" w:rsidRPr="00F26EF7">
              <w:rPr>
                <w:rFonts w:cs="Times New Roman"/>
                <w:sz w:val="24"/>
                <w:szCs w:val="24"/>
                <w:lang w:val="en-US"/>
              </w:rPr>
              <w:t>675</w:t>
            </w:r>
          </w:p>
        </w:tc>
        <w:tc>
          <w:tcPr>
            <w:tcW w:w="2177" w:type="dxa"/>
            <w:gridSpan w:val="2"/>
            <w:tcBorders>
              <w:top w:val="single" w:sz="6" w:space="0" w:color="00000A"/>
              <w:bottom w:val="single" w:sz="6" w:space="0" w:color="00000A"/>
            </w:tcBorders>
            <w:shd w:val="clear" w:color="auto" w:fill="auto"/>
          </w:tcPr>
          <w:p w14:paraId="6EC9B587" w14:textId="593B8398" w:rsidR="00F405BC" w:rsidRPr="00F26EF7" w:rsidRDefault="005F4FAB">
            <w:pPr>
              <w:widowControl w:val="0"/>
              <w:spacing w:after="0" w:line="240" w:lineRule="auto"/>
              <w:jc w:val="center"/>
              <w:rPr>
                <w:rFonts w:cs="Times New Roman"/>
                <w:sz w:val="24"/>
                <w:szCs w:val="24"/>
                <w:lang w:val="en-US"/>
              </w:rPr>
            </w:pPr>
            <w:r w:rsidRPr="00F26EF7">
              <w:rPr>
                <w:rFonts w:cs="Times New Roman"/>
                <w:sz w:val="24"/>
                <w:szCs w:val="24"/>
                <w:lang w:val="en-US"/>
              </w:rPr>
              <w:t>1</w:t>
            </w:r>
            <w:r w:rsidR="00E6366E" w:rsidRPr="00F26EF7">
              <w:rPr>
                <w:rFonts w:cs="Times New Roman"/>
                <w:sz w:val="24"/>
                <w:szCs w:val="24"/>
                <w:lang w:val="en-US"/>
              </w:rPr>
              <w:t>,</w:t>
            </w:r>
            <w:r w:rsidRPr="00F26EF7">
              <w:rPr>
                <w:rFonts w:cs="Times New Roman"/>
                <w:sz w:val="24"/>
                <w:szCs w:val="24"/>
                <w:lang w:val="en-US"/>
              </w:rPr>
              <w:t>869</w:t>
            </w:r>
          </w:p>
        </w:tc>
      </w:tr>
    </w:tbl>
    <w:p w14:paraId="5627576D" w14:textId="77777777" w:rsidR="00F405BC" w:rsidRPr="00F26EF7" w:rsidRDefault="00F405BC">
      <w:pPr>
        <w:rPr>
          <w:sz w:val="24"/>
          <w:szCs w:val="24"/>
          <w:lang w:val="en-US"/>
        </w:rPr>
      </w:pPr>
    </w:p>
    <w:p w14:paraId="3E51DCA5" w14:textId="5807D0E4" w:rsidR="00F405BC" w:rsidRPr="00F26EF7" w:rsidRDefault="00D4646A">
      <w:pPr>
        <w:rPr>
          <w:lang w:val="en-US"/>
        </w:rPr>
      </w:pPr>
      <w:r w:rsidRPr="00F26EF7">
        <w:rPr>
          <w:sz w:val="24"/>
          <w:szCs w:val="24"/>
          <w:lang w:val="en-US"/>
        </w:rPr>
        <w:t xml:space="preserve">We now proceed to examine how crises and IMF programs affect the likelihood of the onset of dissent, starting with transitions to </w:t>
      </w:r>
      <w:r w:rsidR="005D3E4B" w:rsidRPr="00F26EF7">
        <w:rPr>
          <w:sz w:val="24"/>
          <w:szCs w:val="24"/>
          <w:lang w:val="en-US"/>
        </w:rPr>
        <w:t>nonviol</w:t>
      </w:r>
      <w:r w:rsidRPr="00F26EF7">
        <w:rPr>
          <w:sz w:val="24"/>
          <w:szCs w:val="24"/>
          <w:lang w:val="en-US"/>
        </w:rPr>
        <w:t xml:space="preserve">ent protest. In </w:t>
      </w:r>
      <w:r w:rsidR="004636F5" w:rsidRPr="00F26EF7">
        <w:rPr>
          <w:sz w:val="24"/>
          <w:szCs w:val="24"/>
          <w:lang w:val="en-US"/>
        </w:rPr>
        <w:t>M</w:t>
      </w:r>
      <w:r w:rsidRPr="00F26EF7">
        <w:rPr>
          <w:sz w:val="24"/>
          <w:szCs w:val="24"/>
          <w:lang w:val="en-US"/>
        </w:rPr>
        <w:t xml:space="preserve">odel 1 in Table 2 we show the impact of our IMF program flag as well as </w:t>
      </w:r>
      <w:r w:rsidR="004636F5" w:rsidRPr="00F26EF7">
        <w:rPr>
          <w:sz w:val="24"/>
          <w:szCs w:val="24"/>
          <w:lang w:val="en-US"/>
        </w:rPr>
        <w:t>each</w:t>
      </w:r>
      <w:r w:rsidRPr="00F26EF7">
        <w:rPr>
          <w:sz w:val="24"/>
          <w:szCs w:val="24"/>
          <w:lang w:val="en-US"/>
        </w:rPr>
        <w:t xml:space="preserve"> of the three crisis indicators. For the IMF period </w:t>
      </w:r>
      <w:r w:rsidRPr="00F26EF7">
        <w:rPr>
          <w:sz w:val="24"/>
          <w:szCs w:val="24"/>
          <w:lang w:val="en-US"/>
        </w:rPr>
        <w:lastRenderedPageBreak/>
        <w:t>term we find a positive coefficient, consistent with the claim that IMF programs motivate protest. With regard to crises</w:t>
      </w:r>
      <w:r w:rsidR="00304502" w:rsidRPr="00F26EF7">
        <w:rPr>
          <w:sz w:val="24"/>
          <w:szCs w:val="24"/>
          <w:lang w:val="en-US"/>
        </w:rPr>
        <w:t>,</w:t>
      </w:r>
      <w:r w:rsidRPr="00F26EF7">
        <w:rPr>
          <w:sz w:val="24"/>
          <w:szCs w:val="24"/>
          <w:lang w:val="en-US"/>
        </w:rPr>
        <w:t xml:space="preserve"> we find positive coefficients for </w:t>
      </w:r>
      <w:r w:rsidR="00304502" w:rsidRPr="00F26EF7">
        <w:rPr>
          <w:sz w:val="24"/>
          <w:szCs w:val="24"/>
          <w:lang w:val="en-US"/>
        </w:rPr>
        <w:t>each of</w:t>
      </w:r>
      <w:r w:rsidRPr="00F26EF7">
        <w:rPr>
          <w:sz w:val="24"/>
          <w:szCs w:val="24"/>
          <w:lang w:val="en-US"/>
        </w:rPr>
        <w:t xml:space="preserve"> the three crises identified. However, only the term for currency crises is statistically significant. </w:t>
      </w:r>
    </w:p>
    <w:p w14:paraId="612AA407" w14:textId="4694D82F" w:rsidR="00AE29D2" w:rsidRDefault="00AE29D2">
      <w:pPr>
        <w:spacing w:after="0" w:line="240" w:lineRule="auto"/>
        <w:jc w:val="left"/>
        <w:rPr>
          <w:sz w:val="24"/>
          <w:szCs w:val="24"/>
          <w:lang w:val="en-US"/>
        </w:rPr>
      </w:pPr>
    </w:p>
    <w:p w14:paraId="4A68714E" w14:textId="01FCFAB5" w:rsidR="007F018C" w:rsidRPr="00F26EF7" w:rsidRDefault="00D4646A" w:rsidP="00856037">
      <w:pPr>
        <w:outlineLvl w:val="0"/>
        <w:rPr>
          <w:sz w:val="24"/>
          <w:szCs w:val="24"/>
          <w:lang w:val="en-US"/>
        </w:rPr>
      </w:pPr>
      <w:r w:rsidRPr="00F26EF7">
        <w:rPr>
          <w:sz w:val="24"/>
          <w:szCs w:val="24"/>
          <w:lang w:val="en-US"/>
        </w:rPr>
        <w:t>Table 2: Protest onset</w:t>
      </w:r>
    </w:p>
    <w:tbl>
      <w:tblPr>
        <w:tblW w:w="0" w:type="auto"/>
        <w:jc w:val="center"/>
        <w:tblLayout w:type="fixed"/>
        <w:tblCellMar>
          <w:left w:w="75" w:type="dxa"/>
          <w:right w:w="75" w:type="dxa"/>
        </w:tblCellMar>
        <w:tblLook w:val="0000" w:firstRow="0" w:lastRow="0" w:firstColumn="0" w:lastColumn="0" w:noHBand="0" w:noVBand="0"/>
      </w:tblPr>
      <w:tblGrid>
        <w:gridCol w:w="3387"/>
        <w:gridCol w:w="1296"/>
        <w:gridCol w:w="1296"/>
        <w:gridCol w:w="1296"/>
        <w:gridCol w:w="1296"/>
      </w:tblGrid>
      <w:tr w:rsidR="007F018C" w:rsidRPr="00F26EF7" w14:paraId="6A6EC41B" w14:textId="77777777" w:rsidTr="008439C0">
        <w:trPr>
          <w:jc w:val="center"/>
        </w:trPr>
        <w:tc>
          <w:tcPr>
            <w:tcW w:w="3387" w:type="dxa"/>
            <w:tcBorders>
              <w:top w:val="single" w:sz="6" w:space="0" w:color="auto"/>
              <w:left w:val="nil"/>
              <w:bottom w:val="nil"/>
              <w:right w:val="nil"/>
            </w:tcBorders>
          </w:tcPr>
          <w:p w14:paraId="6A8C58EB"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single" w:sz="6" w:space="0" w:color="auto"/>
              <w:left w:val="nil"/>
              <w:bottom w:val="nil"/>
              <w:right w:val="nil"/>
            </w:tcBorders>
          </w:tcPr>
          <w:p w14:paraId="253C25E9"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(1)</w:t>
            </w:r>
          </w:p>
        </w:tc>
        <w:tc>
          <w:tcPr>
            <w:tcW w:w="1296" w:type="dxa"/>
            <w:tcBorders>
              <w:top w:val="single" w:sz="6" w:space="0" w:color="auto"/>
              <w:left w:val="nil"/>
              <w:bottom w:val="nil"/>
              <w:right w:val="nil"/>
            </w:tcBorders>
          </w:tcPr>
          <w:p w14:paraId="0F871CC3"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(2)</w:t>
            </w:r>
          </w:p>
        </w:tc>
        <w:tc>
          <w:tcPr>
            <w:tcW w:w="1296" w:type="dxa"/>
            <w:tcBorders>
              <w:top w:val="single" w:sz="6" w:space="0" w:color="auto"/>
              <w:left w:val="nil"/>
              <w:bottom w:val="nil"/>
              <w:right w:val="nil"/>
            </w:tcBorders>
          </w:tcPr>
          <w:p w14:paraId="4D671265"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(3)</w:t>
            </w:r>
          </w:p>
        </w:tc>
        <w:tc>
          <w:tcPr>
            <w:tcW w:w="1296" w:type="dxa"/>
            <w:tcBorders>
              <w:top w:val="single" w:sz="6" w:space="0" w:color="auto"/>
              <w:left w:val="nil"/>
              <w:bottom w:val="nil"/>
              <w:right w:val="nil"/>
            </w:tcBorders>
          </w:tcPr>
          <w:p w14:paraId="06399751"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(4)</w:t>
            </w:r>
          </w:p>
        </w:tc>
      </w:tr>
      <w:tr w:rsidR="007F018C" w:rsidRPr="00F26EF7" w14:paraId="56E37D56" w14:textId="77777777" w:rsidTr="008439C0">
        <w:trPr>
          <w:jc w:val="center"/>
        </w:trPr>
        <w:tc>
          <w:tcPr>
            <w:tcW w:w="3387" w:type="dxa"/>
            <w:tcBorders>
              <w:top w:val="nil"/>
              <w:left w:val="nil"/>
              <w:bottom w:val="single" w:sz="6" w:space="0" w:color="auto"/>
              <w:right w:val="nil"/>
            </w:tcBorders>
          </w:tcPr>
          <w:p w14:paraId="36663D2A"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VARIABLES</w:t>
            </w:r>
          </w:p>
        </w:tc>
        <w:tc>
          <w:tcPr>
            <w:tcW w:w="1296" w:type="dxa"/>
            <w:tcBorders>
              <w:top w:val="nil"/>
              <w:left w:val="nil"/>
              <w:bottom w:val="single" w:sz="6" w:space="0" w:color="auto"/>
              <w:right w:val="nil"/>
            </w:tcBorders>
          </w:tcPr>
          <w:p w14:paraId="0B4549AE"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Model 1</w:t>
            </w:r>
          </w:p>
        </w:tc>
        <w:tc>
          <w:tcPr>
            <w:tcW w:w="1296" w:type="dxa"/>
            <w:tcBorders>
              <w:top w:val="nil"/>
              <w:left w:val="nil"/>
              <w:bottom w:val="single" w:sz="6" w:space="0" w:color="auto"/>
              <w:right w:val="nil"/>
            </w:tcBorders>
          </w:tcPr>
          <w:p w14:paraId="7C284E61"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Model 2</w:t>
            </w:r>
          </w:p>
        </w:tc>
        <w:tc>
          <w:tcPr>
            <w:tcW w:w="1296" w:type="dxa"/>
            <w:tcBorders>
              <w:top w:val="nil"/>
              <w:left w:val="nil"/>
              <w:bottom w:val="single" w:sz="6" w:space="0" w:color="auto"/>
              <w:right w:val="nil"/>
            </w:tcBorders>
          </w:tcPr>
          <w:p w14:paraId="3153EBF4"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Model 3</w:t>
            </w:r>
          </w:p>
        </w:tc>
        <w:tc>
          <w:tcPr>
            <w:tcW w:w="1296" w:type="dxa"/>
            <w:tcBorders>
              <w:top w:val="nil"/>
              <w:left w:val="nil"/>
              <w:bottom w:val="single" w:sz="6" w:space="0" w:color="auto"/>
              <w:right w:val="nil"/>
            </w:tcBorders>
          </w:tcPr>
          <w:p w14:paraId="7B8FCE1F"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Model 4</w:t>
            </w:r>
          </w:p>
        </w:tc>
      </w:tr>
      <w:tr w:rsidR="007F018C" w:rsidRPr="00F26EF7" w14:paraId="7A348ABA" w14:textId="77777777" w:rsidTr="008439C0">
        <w:trPr>
          <w:jc w:val="center"/>
        </w:trPr>
        <w:tc>
          <w:tcPr>
            <w:tcW w:w="3387" w:type="dxa"/>
            <w:tcBorders>
              <w:top w:val="nil"/>
              <w:left w:val="nil"/>
              <w:bottom w:val="nil"/>
              <w:right w:val="nil"/>
            </w:tcBorders>
          </w:tcPr>
          <w:p w14:paraId="704C32AB"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3640AF93"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6A9C71FE"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0ECE0414"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107F2ED6"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r>
      <w:tr w:rsidR="007F018C" w:rsidRPr="00F26EF7" w14:paraId="6F90C80E" w14:textId="77777777" w:rsidTr="008439C0">
        <w:trPr>
          <w:jc w:val="center"/>
        </w:trPr>
        <w:tc>
          <w:tcPr>
            <w:tcW w:w="3387" w:type="dxa"/>
            <w:tcBorders>
              <w:top w:val="nil"/>
              <w:left w:val="nil"/>
              <w:bottom w:val="nil"/>
              <w:right w:val="nil"/>
            </w:tcBorders>
          </w:tcPr>
          <w:p w14:paraId="4CBAEA3F" w14:textId="0D3B4CCB" w:rsidR="007F018C" w:rsidRPr="00F26EF7" w:rsidRDefault="007F018C"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IMF program</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39B94349"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0.41***</w:t>
            </w:r>
          </w:p>
        </w:tc>
        <w:tc>
          <w:tcPr>
            <w:tcW w:w="1296" w:type="dxa"/>
            <w:tcBorders>
              <w:top w:val="nil"/>
              <w:left w:val="nil"/>
              <w:bottom w:val="nil"/>
              <w:right w:val="nil"/>
            </w:tcBorders>
          </w:tcPr>
          <w:p w14:paraId="13571D8A"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0.41***</w:t>
            </w:r>
          </w:p>
        </w:tc>
        <w:tc>
          <w:tcPr>
            <w:tcW w:w="1296" w:type="dxa"/>
            <w:tcBorders>
              <w:top w:val="nil"/>
              <w:left w:val="nil"/>
              <w:bottom w:val="nil"/>
              <w:right w:val="nil"/>
            </w:tcBorders>
          </w:tcPr>
          <w:p w14:paraId="1014FEB1"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0.22**</w:t>
            </w:r>
          </w:p>
        </w:tc>
        <w:tc>
          <w:tcPr>
            <w:tcW w:w="1296" w:type="dxa"/>
            <w:tcBorders>
              <w:top w:val="nil"/>
              <w:left w:val="nil"/>
              <w:bottom w:val="nil"/>
              <w:right w:val="nil"/>
            </w:tcBorders>
          </w:tcPr>
          <w:p w14:paraId="107B91B0"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0.23**</w:t>
            </w:r>
          </w:p>
        </w:tc>
      </w:tr>
      <w:tr w:rsidR="007F018C" w:rsidRPr="00F26EF7" w14:paraId="26A56239" w14:textId="77777777" w:rsidTr="008439C0">
        <w:trPr>
          <w:jc w:val="center"/>
        </w:trPr>
        <w:tc>
          <w:tcPr>
            <w:tcW w:w="3387" w:type="dxa"/>
            <w:tcBorders>
              <w:top w:val="nil"/>
              <w:left w:val="nil"/>
              <w:bottom w:val="nil"/>
              <w:right w:val="nil"/>
            </w:tcBorders>
          </w:tcPr>
          <w:p w14:paraId="2057A6FE"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5DAE12F2"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(0.09)</w:t>
            </w:r>
          </w:p>
        </w:tc>
        <w:tc>
          <w:tcPr>
            <w:tcW w:w="1296" w:type="dxa"/>
            <w:tcBorders>
              <w:top w:val="nil"/>
              <w:left w:val="nil"/>
              <w:bottom w:val="nil"/>
              <w:right w:val="nil"/>
            </w:tcBorders>
          </w:tcPr>
          <w:p w14:paraId="7A19C259"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(0.09)</w:t>
            </w:r>
          </w:p>
        </w:tc>
        <w:tc>
          <w:tcPr>
            <w:tcW w:w="1296" w:type="dxa"/>
            <w:tcBorders>
              <w:top w:val="nil"/>
              <w:left w:val="nil"/>
              <w:bottom w:val="nil"/>
              <w:right w:val="nil"/>
            </w:tcBorders>
          </w:tcPr>
          <w:p w14:paraId="4941DAE0"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(0.09)</w:t>
            </w:r>
          </w:p>
        </w:tc>
        <w:tc>
          <w:tcPr>
            <w:tcW w:w="1296" w:type="dxa"/>
            <w:tcBorders>
              <w:top w:val="nil"/>
              <w:left w:val="nil"/>
              <w:bottom w:val="nil"/>
              <w:right w:val="nil"/>
            </w:tcBorders>
          </w:tcPr>
          <w:p w14:paraId="7E7697AA"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(0.09)</w:t>
            </w:r>
          </w:p>
        </w:tc>
      </w:tr>
      <w:tr w:rsidR="007F018C" w:rsidRPr="00F26EF7" w14:paraId="0C270FB0" w14:textId="77777777" w:rsidTr="008439C0">
        <w:trPr>
          <w:jc w:val="center"/>
        </w:trPr>
        <w:tc>
          <w:tcPr>
            <w:tcW w:w="3387" w:type="dxa"/>
            <w:tcBorders>
              <w:top w:val="nil"/>
              <w:left w:val="nil"/>
              <w:bottom w:val="nil"/>
              <w:right w:val="nil"/>
            </w:tcBorders>
          </w:tcPr>
          <w:p w14:paraId="31B5FC26" w14:textId="40A518A0" w:rsidR="007F018C" w:rsidRPr="00F26EF7" w:rsidRDefault="007F018C"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Sovereign debt crisis</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2D9716AC"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0.29</w:t>
            </w:r>
          </w:p>
        </w:tc>
        <w:tc>
          <w:tcPr>
            <w:tcW w:w="1296" w:type="dxa"/>
            <w:tcBorders>
              <w:top w:val="nil"/>
              <w:left w:val="nil"/>
              <w:bottom w:val="nil"/>
              <w:right w:val="nil"/>
            </w:tcBorders>
          </w:tcPr>
          <w:p w14:paraId="184D884C"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71728DD8"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0.27</w:t>
            </w:r>
          </w:p>
        </w:tc>
        <w:tc>
          <w:tcPr>
            <w:tcW w:w="1296" w:type="dxa"/>
            <w:tcBorders>
              <w:top w:val="nil"/>
              <w:left w:val="nil"/>
              <w:bottom w:val="nil"/>
              <w:right w:val="nil"/>
            </w:tcBorders>
          </w:tcPr>
          <w:p w14:paraId="52B88730"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r>
      <w:tr w:rsidR="007F018C" w:rsidRPr="00F26EF7" w14:paraId="757ED796" w14:textId="77777777" w:rsidTr="008439C0">
        <w:trPr>
          <w:jc w:val="center"/>
        </w:trPr>
        <w:tc>
          <w:tcPr>
            <w:tcW w:w="3387" w:type="dxa"/>
            <w:tcBorders>
              <w:top w:val="nil"/>
              <w:left w:val="nil"/>
              <w:bottom w:val="nil"/>
              <w:right w:val="nil"/>
            </w:tcBorders>
          </w:tcPr>
          <w:p w14:paraId="51917ED8"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55BC0F3E"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(0.34)</w:t>
            </w:r>
          </w:p>
        </w:tc>
        <w:tc>
          <w:tcPr>
            <w:tcW w:w="1296" w:type="dxa"/>
            <w:tcBorders>
              <w:top w:val="nil"/>
              <w:left w:val="nil"/>
              <w:bottom w:val="nil"/>
              <w:right w:val="nil"/>
            </w:tcBorders>
          </w:tcPr>
          <w:p w14:paraId="2AA19125"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134A0732"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(0.33)</w:t>
            </w:r>
          </w:p>
        </w:tc>
        <w:tc>
          <w:tcPr>
            <w:tcW w:w="1296" w:type="dxa"/>
            <w:tcBorders>
              <w:top w:val="nil"/>
              <w:left w:val="nil"/>
              <w:bottom w:val="nil"/>
              <w:right w:val="nil"/>
            </w:tcBorders>
          </w:tcPr>
          <w:p w14:paraId="1A02B8F9"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r>
      <w:tr w:rsidR="007F018C" w:rsidRPr="00F26EF7" w14:paraId="0C630993" w14:textId="77777777" w:rsidTr="008439C0">
        <w:trPr>
          <w:jc w:val="center"/>
        </w:trPr>
        <w:tc>
          <w:tcPr>
            <w:tcW w:w="3387" w:type="dxa"/>
            <w:tcBorders>
              <w:top w:val="nil"/>
              <w:left w:val="nil"/>
              <w:bottom w:val="nil"/>
              <w:right w:val="nil"/>
            </w:tcBorders>
          </w:tcPr>
          <w:p w14:paraId="1E217900" w14:textId="7D9AD91C" w:rsidR="007F018C" w:rsidRPr="00F26EF7" w:rsidRDefault="007F018C"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Currency crisis</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052BB0DF"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0.57***</w:t>
            </w:r>
          </w:p>
        </w:tc>
        <w:tc>
          <w:tcPr>
            <w:tcW w:w="1296" w:type="dxa"/>
            <w:tcBorders>
              <w:top w:val="nil"/>
              <w:left w:val="nil"/>
              <w:bottom w:val="nil"/>
              <w:right w:val="nil"/>
            </w:tcBorders>
          </w:tcPr>
          <w:p w14:paraId="782D1381"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74523A6A"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0.50***</w:t>
            </w:r>
          </w:p>
        </w:tc>
        <w:tc>
          <w:tcPr>
            <w:tcW w:w="1296" w:type="dxa"/>
            <w:tcBorders>
              <w:top w:val="nil"/>
              <w:left w:val="nil"/>
              <w:bottom w:val="nil"/>
              <w:right w:val="nil"/>
            </w:tcBorders>
          </w:tcPr>
          <w:p w14:paraId="1197ECC5"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r>
      <w:tr w:rsidR="007F018C" w:rsidRPr="00F26EF7" w14:paraId="178290A5" w14:textId="77777777" w:rsidTr="008439C0">
        <w:trPr>
          <w:jc w:val="center"/>
        </w:trPr>
        <w:tc>
          <w:tcPr>
            <w:tcW w:w="3387" w:type="dxa"/>
            <w:tcBorders>
              <w:top w:val="nil"/>
              <w:left w:val="nil"/>
              <w:bottom w:val="nil"/>
              <w:right w:val="nil"/>
            </w:tcBorders>
          </w:tcPr>
          <w:p w14:paraId="4E73153B"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3002678E"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(0.14)</w:t>
            </w:r>
          </w:p>
        </w:tc>
        <w:tc>
          <w:tcPr>
            <w:tcW w:w="1296" w:type="dxa"/>
            <w:tcBorders>
              <w:top w:val="nil"/>
              <w:left w:val="nil"/>
              <w:bottom w:val="nil"/>
              <w:right w:val="nil"/>
            </w:tcBorders>
          </w:tcPr>
          <w:p w14:paraId="674B745F"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54BC4CC8"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(0.15)</w:t>
            </w:r>
          </w:p>
        </w:tc>
        <w:tc>
          <w:tcPr>
            <w:tcW w:w="1296" w:type="dxa"/>
            <w:tcBorders>
              <w:top w:val="nil"/>
              <w:left w:val="nil"/>
              <w:bottom w:val="nil"/>
              <w:right w:val="nil"/>
            </w:tcBorders>
          </w:tcPr>
          <w:p w14:paraId="56DA808D"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r>
      <w:tr w:rsidR="007F018C" w:rsidRPr="00F26EF7" w14:paraId="2236394B" w14:textId="77777777" w:rsidTr="008439C0">
        <w:trPr>
          <w:jc w:val="center"/>
        </w:trPr>
        <w:tc>
          <w:tcPr>
            <w:tcW w:w="3387" w:type="dxa"/>
            <w:tcBorders>
              <w:top w:val="nil"/>
              <w:left w:val="nil"/>
              <w:bottom w:val="nil"/>
              <w:right w:val="nil"/>
            </w:tcBorders>
          </w:tcPr>
          <w:p w14:paraId="06F3C13E" w14:textId="576A0A35" w:rsidR="007F018C" w:rsidRPr="00F26EF7" w:rsidRDefault="007F018C"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Banking crisis</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50491CF2"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0.14</w:t>
            </w:r>
          </w:p>
        </w:tc>
        <w:tc>
          <w:tcPr>
            <w:tcW w:w="1296" w:type="dxa"/>
            <w:tcBorders>
              <w:top w:val="nil"/>
              <w:left w:val="nil"/>
              <w:bottom w:val="nil"/>
              <w:right w:val="nil"/>
            </w:tcBorders>
          </w:tcPr>
          <w:p w14:paraId="1FE85D50"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30508108"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0.08</w:t>
            </w:r>
          </w:p>
        </w:tc>
        <w:tc>
          <w:tcPr>
            <w:tcW w:w="1296" w:type="dxa"/>
            <w:tcBorders>
              <w:top w:val="nil"/>
              <w:left w:val="nil"/>
              <w:bottom w:val="nil"/>
              <w:right w:val="nil"/>
            </w:tcBorders>
          </w:tcPr>
          <w:p w14:paraId="1B72E7E0"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r>
      <w:tr w:rsidR="007F018C" w:rsidRPr="00F26EF7" w14:paraId="327767FF" w14:textId="77777777" w:rsidTr="008439C0">
        <w:trPr>
          <w:jc w:val="center"/>
        </w:trPr>
        <w:tc>
          <w:tcPr>
            <w:tcW w:w="3387" w:type="dxa"/>
            <w:tcBorders>
              <w:top w:val="nil"/>
              <w:left w:val="nil"/>
              <w:bottom w:val="nil"/>
              <w:right w:val="nil"/>
            </w:tcBorders>
          </w:tcPr>
          <w:p w14:paraId="1540BF93"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70022F42"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(0.20)</w:t>
            </w:r>
          </w:p>
        </w:tc>
        <w:tc>
          <w:tcPr>
            <w:tcW w:w="1296" w:type="dxa"/>
            <w:tcBorders>
              <w:top w:val="nil"/>
              <w:left w:val="nil"/>
              <w:bottom w:val="nil"/>
              <w:right w:val="nil"/>
            </w:tcBorders>
          </w:tcPr>
          <w:p w14:paraId="1EDBF469"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773C162A"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(0.20)</w:t>
            </w:r>
          </w:p>
        </w:tc>
        <w:tc>
          <w:tcPr>
            <w:tcW w:w="1296" w:type="dxa"/>
            <w:tcBorders>
              <w:top w:val="nil"/>
              <w:left w:val="nil"/>
              <w:bottom w:val="nil"/>
              <w:right w:val="nil"/>
            </w:tcBorders>
          </w:tcPr>
          <w:p w14:paraId="572B4809"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r>
      <w:tr w:rsidR="007F018C" w:rsidRPr="00F26EF7" w14:paraId="6AFEC88B" w14:textId="77777777" w:rsidTr="008439C0">
        <w:trPr>
          <w:jc w:val="center"/>
        </w:trPr>
        <w:tc>
          <w:tcPr>
            <w:tcW w:w="3387" w:type="dxa"/>
            <w:tcBorders>
              <w:top w:val="nil"/>
              <w:left w:val="nil"/>
              <w:bottom w:val="nil"/>
              <w:right w:val="nil"/>
            </w:tcBorders>
          </w:tcPr>
          <w:p w14:paraId="29DD7C9A" w14:textId="103D0F54" w:rsidR="007F018C" w:rsidRPr="00F26EF7" w:rsidRDefault="007F018C" w:rsidP="00CC7808">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 xml:space="preserve">Time </w:t>
            </w:r>
            <w:r w:rsidR="00CC7808" w:rsidRPr="00F26EF7">
              <w:rPr>
                <w:rFonts w:cs="Times New Roman"/>
                <w:sz w:val="24"/>
                <w:szCs w:val="24"/>
                <w:lang w:val="en-US"/>
              </w:rPr>
              <w:t>since</w:t>
            </w:r>
            <w:r w:rsidRPr="00F26EF7">
              <w:rPr>
                <w:rFonts w:cs="Times New Roman"/>
                <w:sz w:val="24"/>
                <w:szCs w:val="24"/>
                <w:lang w:val="en-US"/>
              </w:rPr>
              <w:t xml:space="preserve"> protest</w:t>
            </w:r>
          </w:p>
        </w:tc>
        <w:tc>
          <w:tcPr>
            <w:tcW w:w="1296" w:type="dxa"/>
            <w:tcBorders>
              <w:top w:val="nil"/>
              <w:left w:val="nil"/>
              <w:bottom w:val="nil"/>
              <w:right w:val="nil"/>
            </w:tcBorders>
          </w:tcPr>
          <w:p w14:paraId="3101E70E"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-0.26***</w:t>
            </w:r>
          </w:p>
        </w:tc>
        <w:tc>
          <w:tcPr>
            <w:tcW w:w="1296" w:type="dxa"/>
            <w:tcBorders>
              <w:top w:val="nil"/>
              <w:left w:val="nil"/>
              <w:bottom w:val="nil"/>
              <w:right w:val="nil"/>
            </w:tcBorders>
          </w:tcPr>
          <w:p w14:paraId="3109C606"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-0.26***</w:t>
            </w:r>
          </w:p>
        </w:tc>
        <w:tc>
          <w:tcPr>
            <w:tcW w:w="1296" w:type="dxa"/>
            <w:tcBorders>
              <w:top w:val="nil"/>
              <w:left w:val="nil"/>
              <w:bottom w:val="nil"/>
              <w:right w:val="nil"/>
            </w:tcBorders>
          </w:tcPr>
          <w:p w14:paraId="5EFEA806"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-0.24***</w:t>
            </w:r>
          </w:p>
        </w:tc>
        <w:tc>
          <w:tcPr>
            <w:tcW w:w="1296" w:type="dxa"/>
            <w:tcBorders>
              <w:top w:val="nil"/>
              <w:left w:val="nil"/>
              <w:bottom w:val="nil"/>
              <w:right w:val="nil"/>
            </w:tcBorders>
          </w:tcPr>
          <w:p w14:paraId="6A80D1D5"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-0.24***</w:t>
            </w:r>
          </w:p>
        </w:tc>
      </w:tr>
      <w:tr w:rsidR="007F018C" w:rsidRPr="00F26EF7" w14:paraId="0CBF9DBF" w14:textId="77777777" w:rsidTr="008439C0">
        <w:trPr>
          <w:jc w:val="center"/>
        </w:trPr>
        <w:tc>
          <w:tcPr>
            <w:tcW w:w="3387" w:type="dxa"/>
            <w:tcBorders>
              <w:top w:val="nil"/>
              <w:left w:val="nil"/>
              <w:bottom w:val="nil"/>
              <w:right w:val="nil"/>
            </w:tcBorders>
          </w:tcPr>
          <w:p w14:paraId="4B60797A"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4F211642"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c>
          <w:tcPr>
            <w:tcW w:w="1296" w:type="dxa"/>
            <w:tcBorders>
              <w:top w:val="nil"/>
              <w:left w:val="nil"/>
              <w:bottom w:val="nil"/>
              <w:right w:val="nil"/>
            </w:tcBorders>
          </w:tcPr>
          <w:p w14:paraId="435FD31E"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c>
          <w:tcPr>
            <w:tcW w:w="1296" w:type="dxa"/>
            <w:tcBorders>
              <w:top w:val="nil"/>
              <w:left w:val="nil"/>
              <w:bottom w:val="nil"/>
              <w:right w:val="nil"/>
            </w:tcBorders>
          </w:tcPr>
          <w:p w14:paraId="4E330A60"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(0.02)</w:t>
            </w:r>
          </w:p>
        </w:tc>
        <w:tc>
          <w:tcPr>
            <w:tcW w:w="1296" w:type="dxa"/>
            <w:tcBorders>
              <w:top w:val="nil"/>
              <w:left w:val="nil"/>
              <w:bottom w:val="nil"/>
              <w:right w:val="nil"/>
            </w:tcBorders>
          </w:tcPr>
          <w:p w14:paraId="1721F4F8"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(0.02)</w:t>
            </w:r>
          </w:p>
        </w:tc>
      </w:tr>
      <w:tr w:rsidR="007F018C" w:rsidRPr="00F26EF7" w14:paraId="73218994" w14:textId="77777777" w:rsidTr="008439C0">
        <w:trPr>
          <w:jc w:val="center"/>
        </w:trPr>
        <w:tc>
          <w:tcPr>
            <w:tcW w:w="3387" w:type="dxa"/>
            <w:tcBorders>
              <w:top w:val="nil"/>
              <w:left w:val="nil"/>
              <w:bottom w:val="nil"/>
              <w:right w:val="nil"/>
            </w:tcBorders>
          </w:tcPr>
          <w:p w14:paraId="2E135F16" w14:textId="58F1EE67" w:rsidR="007F018C" w:rsidRPr="00F26EF7" w:rsidRDefault="007F018C" w:rsidP="00CC7808">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 xml:space="preserve">Time </w:t>
            </w:r>
            <w:r w:rsidR="00CC7808" w:rsidRPr="00F26EF7">
              <w:rPr>
                <w:rFonts w:cs="Times New Roman"/>
                <w:sz w:val="24"/>
                <w:szCs w:val="24"/>
                <w:lang w:val="en-US"/>
              </w:rPr>
              <w:t xml:space="preserve">since </w:t>
            </w:r>
            <w:r w:rsidRPr="00F26EF7">
              <w:rPr>
                <w:rFonts w:cs="Times New Roman"/>
                <w:sz w:val="24"/>
                <w:szCs w:val="24"/>
                <w:lang w:val="en-US"/>
              </w:rPr>
              <w:t>protest^2</w:t>
            </w:r>
          </w:p>
        </w:tc>
        <w:tc>
          <w:tcPr>
            <w:tcW w:w="1296" w:type="dxa"/>
            <w:tcBorders>
              <w:top w:val="nil"/>
              <w:left w:val="nil"/>
              <w:bottom w:val="nil"/>
              <w:right w:val="nil"/>
            </w:tcBorders>
          </w:tcPr>
          <w:p w14:paraId="38339966"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c>
          <w:tcPr>
            <w:tcW w:w="1296" w:type="dxa"/>
            <w:tcBorders>
              <w:top w:val="nil"/>
              <w:left w:val="nil"/>
              <w:bottom w:val="nil"/>
              <w:right w:val="nil"/>
            </w:tcBorders>
          </w:tcPr>
          <w:p w14:paraId="2E909FB1"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c>
          <w:tcPr>
            <w:tcW w:w="1296" w:type="dxa"/>
            <w:tcBorders>
              <w:top w:val="nil"/>
              <w:left w:val="nil"/>
              <w:bottom w:val="nil"/>
              <w:right w:val="nil"/>
            </w:tcBorders>
          </w:tcPr>
          <w:p w14:paraId="7D4B27A2"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c>
          <w:tcPr>
            <w:tcW w:w="1296" w:type="dxa"/>
            <w:tcBorders>
              <w:top w:val="nil"/>
              <w:left w:val="nil"/>
              <w:bottom w:val="nil"/>
              <w:right w:val="nil"/>
            </w:tcBorders>
          </w:tcPr>
          <w:p w14:paraId="473C65FE"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r>
      <w:tr w:rsidR="007F018C" w:rsidRPr="00F26EF7" w14:paraId="693C19EF" w14:textId="77777777" w:rsidTr="008439C0">
        <w:trPr>
          <w:jc w:val="center"/>
        </w:trPr>
        <w:tc>
          <w:tcPr>
            <w:tcW w:w="3387" w:type="dxa"/>
            <w:tcBorders>
              <w:top w:val="nil"/>
              <w:left w:val="nil"/>
              <w:bottom w:val="nil"/>
              <w:right w:val="nil"/>
            </w:tcBorders>
          </w:tcPr>
          <w:p w14:paraId="68A7D778"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0A01F53B"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08299BB9"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3F47C007"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3E9EB2BF"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r>
      <w:tr w:rsidR="007F018C" w:rsidRPr="00F26EF7" w14:paraId="366685C2" w14:textId="77777777" w:rsidTr="008439C0">
        <w:trPr>
          <w:jc w:val="center"/>
        </w:trPr>
        <w:tc>
          <w:tcPr>
            <w:tcW w:w="3387" w:type="dxa"/>
            <w:tcBorders>
              <w:top w:val="nil"/>
              <w:left w:val="nil"/>
              <w:bottom w:val="nil"/>
              <w:right w:val="nil"/>
            </w:tcBorders>
          </w:tcPr>
          <w:p w14:paraId="41BBC9C7" w14:textId="4D4A8179" w:rsidR="007F018C" w:rsidRPr="00F26EF7" w:rsidRDefault="007F018C" w:rsidP="00CC7808">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 xml:space="preserve">Time </w:t>
            </w:r>
            <w:r w:rsidR="00CC7808" w:rsidRPr="00F26EF7">
              <w:rPr>
                <w:rFonts w:cs="Times New Roman"/>
                <w:sz w:val="24"/>
                <w:szCs w:val="24"/>
                <w:lang w:val="en-US"/>
              </w:rPr>
              <w:t xml:space="preserve">since </w:t>
            </w:r>
            <w:r w:rsidRPr="00F26EF7">
              <w:rPr>
                <w:rFonts w:cs="Times New Roman"/>
                <w:sz w:val="24"/>
                <w:szCs w:val="24"/>
                <w:lang w:val="en-US"/>
              </w:rPr>
              <w:t>protest^3</w:t>
            </w:r>
          </w:p>
        </w:tc>
        <w:tc>
          <w:tcPr>
            <w:tcW w:w="1296" w:type="dxa"/>
            <w:tcBorders>
              <w:top w:val="nil"/>
              <w:left w:val="nil"/>
              <w:bottom w:val="nil"/>
              <w:right w:val="nil"/>
            </w:tcBorders>
          </w:tcPr>
          <w:p w14:paraId="5C38BCF8"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07B66298"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7AF1154A"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0DCAC14E"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r>
      <w:tr w:rsidR="007F018C" w:rsidRPr="00F26EF7" w14:paraId="2BE826C1" w14:textId="77777777" w:rsidTr="008439C0">
        <w:trPr>
          <w:jc w:val="center"/>
        </w:trPr>
        <w:tc>
          <w:tcPr>
            <w:tcW w:w="3387" w:type="dxa"/>
            <w:tcBorders>
              <w:top w:val="nil"/>
              <w:left w:val="nil"/>
              <w:bottom w:val="nil"/>
              <w:right w:val="nil"/>
            </w:tcBorders>
          </w:tcPr>
          <w:p w14:paraId="162634B4"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52C08CF8"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3FECED0C"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7F4EAEDC"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08973565"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r>
      <w:tr w:rsidR="007F018C" w:rsidRPr="00F26EF7" w14:paraId="56835B92" w14:textId="77777777" w:rsidTr="008439C0">
        <w:trPr>
          <w:jc w:val="center"/>
        </w:trPr>
        <w:tc>
          <w:tcPr>
            <w:tcW w:w="3387" w:type="dxa"/>
            <w:tcBorders>
              <w:top w:val="nil"/>
              <w:left w:val="nil"/>
              <w:bottom w:val="nil"/>
              <w:right w:val="nil"/>
            </w:tcBorders>
          </w:tcPr>
          <w:p w14:paraId="04238366" w14:textId="6AE811EE" w:rsidR="007F018C" w:rsidRPr="00F26EF7" w:rsidRDefault="00DD3F68"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CPI</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617485E4"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4E41719D"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3FB0828E"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c>
          <w:tcPr>
            <w:tcW w:w="1296" w:type="dxa"/>
            <w:tcBorders>
              <w:top w:val="nil"/>
              <w:left w:val="nil"/>
              <w:bottom w:val="nil"/>
              <w:right w:val="nil"/>
            </w:tcBorders>
          </w:tcPr>
          <w:p w14:paraId="718D585A"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r>
      <w:tr w:rsidR="007F018C" w:rsidRPr="00F26EF7" w14:paraId="266C2B2B" w14:textId="77777777" w:rsidTr="008439C0">
        <w:trPr>
          <w:jc w:val="center"/>
        </w:trPr>
        <w:tc>
          <w:tcPr>
            <w:tcW w:w="3387" w:type="dxa"/>
            <w:tcBorders>
              <w:top w:val="nil"/>
              <w:left w:val="nil"/>
              <w:bottom w:val="nil"/>
              <w:right w:val="nil"/>
            </w:tcBorders>
          </w:tcPr>
          <w:p w14:paraId="085CD904"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6CFE3449"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6F28B972"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085F3E08"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48DB76DF"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r>
      <w:tr w:rsidR="007F018C" w:rsidRPr="00F26EF7" w14:paraId="79F4E0AD" w14:textId="77777777" w:rsidTr="008439C0">
        <w:trPr>
          <w:jc w:val="center"/>
        </w:trPr>
        <w:tc>
          <w:tcPr>
            <w:tcW w:w="3387" w:type="dxa"/>
            <w:tcBorders>
              <w:top w:val="nil"/>
              <w:left w:val="nil"/>
              <w:bottom w:val="nil"/>
              <w:right w:val="nil"/>
            </w:tcBorders>
          </w:tcPr>
          <w:p w14:paraId="1EC0E884" w14:textId="27274771" w:rsidR="007F018C" w:rsidRPr="00F26EF7" w:rsidRDefault="00DD3F68"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C</w:t>
            </w:r>
            <w:r w:rsidR="006F7C1B" w:rsidRPr="00F26EF7">
              <w:rPr>
                <w:rFonts w:cs="Times New Roman"/>
                <w:sz w:val="24"/>
                <w:szCs w:val="24"/>
                <w:lang w:val="en-US"/>
              </w:rPr>
              <w:t>hange in CPI</w:t>
            </w:r>
          </w:p>
        </w:tc>
        <w:tc>
          <w:tcPr>
            <w:tcW w:w="1296" w:type="dxa"/>
            <w:tcBorders>
              <w:top w:val="nil"/>
              <w:left w:val="nil"/>
              <w:bottom w:val="nil"/>
              <w:right w:val="nil"/>
            </w:tcBorders>
          </w:tcPr>
          <w:p w14:paraId="69A4C5E6"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7149005D"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189FDAA3"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4.81***</w:t>
            </w:r>
          </w:p>
        </w:tc>
        <w:tc>
          <w:tcPr>
            <w:tcW w:w="1296" w:type="dxa"/>
            <w:tcBorders>
              <w:top w:val="nil"/>
              <w:left w:val="nil"/>
              <w:bottom w:val="nil"/>
              <w:right w:val="nil"/>
            </w:tcBorders>
          </w:tcPr>
          <w:p w14:paraId="47935371"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4.90***</w:t>
            </w:r>
          </w:p>
        </w:tc>
      </w:tr>
      <w:tr w:rsidR="007F018C" w:rsidRPr="00F26EF7" w14:paraId="56482D86" w14:textId="77777777" w:rsidTr="008439C0">
        <w:trPr>
          <w:jc w:val="center"/>
        </w:trPr>
        <w:tc>
          <w:tcPr>
            <w:tcW w:w="3387" w:type="dxa"/>
            <w:tcBorders>
              <w:top w:val="nil"/>
              <w:left w:val="nil"/>
              <w:bottom w:val="nil"/>
              <w:right w:val="nil"/>
            </w:tcBorders>
          </w:tcPr>
          <w:p w14:paraId="425C49C1"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69864328"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5ECB51C3"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390C85D3"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(1.00)</w:t>
            </w:r>
          </w:p>
        </w:tc>
        <w:tc>
          <w:tcPr>
            <w:tcW w:w="1296" w:type="dxa"/>
            <w:tcBorders>
              <w:top w:val="nil"/>
              <w:left w:val="nil"/>
              <w:bottom w:val="nil"/>
              <w:right w:val="nil"/>
            </w:tcBorders>
          </w:tcPr>
          <w:p w14:paraId="3076BD48"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(0.99)</w:t>
            </w:r>
          </w:p>
        </w:tc>
      </w:tr>
      <w:tr w:rsidR="007F018C" w:rsidRPr="00F26EF7" w14:paraId="1DE19348" w14:textId="77777777" w:rsidTr="008439C0">
        <w:trPr>
          <w:jc w:val="center"/>
        </w:trPr>
        <w:tc>
          <w:tcPr>
            <w:tcW w:w="3387" w:type="dxa"/>
            <w:tcBorders>
              <w:top w:val="nil"/>
              <w:left w:val="nil"/>
              <w:bottom w:val="nil"/>
              <w:right w:val="nil"/>
            </w:tcBorders>
          </w:tcPr>
          <w:p w14:paraId="2A075AA1" w14:textId="25DE6872" w:rsidR="007F018C" w:rsidRPr="00F26EF7" w:rsidRDefault="00E4202E"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Any crisis</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772C8A02"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02B75F6C"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0.52***</w:t>
            </w:r>
          </w:p>
        </w:tc>
        <w:tc>
          <w:tcPr>
            <w:tcW w:w="1296" w:type="dxa"/>
            <w:tcBorders>
              <w:top w:val="nil"/>
              <w:left w:val="nil"/>
              <w:bottom w:val="nil"/>
              <w:right w:val="nil"/>
            </w:tcBorders>
          </w:tcPr>
          <w:p w14:paraId="4FD46CE7"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2362BC61"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0.43***</w:t>
            </w:r>
          </w:p>
        </w:tc>
      </w:tr>
      <w:tr w:rsidR="007F018C" w:rsidRPr="00F26EF7" w14:paraId="7B6EE7E4" w14:textId="77777777" w:rsidTr="008439C0">
        <w:trPr>
          <w:jc w:val="center"/>
        </w:trPr>
        <w:tc>
          <w:tcPr>
            <w:tcW w:w="3387" w:type="dxa"/>
            <w:tcBorders>
              <w:top w:val="nil"/>
              <w:left w:val="nil"/>
              <w:bottom w:val="nil"/>
              <w:right w:val="nil"/>
            </w:tcBorders>
          </w:tcPr>
          <w:p w14:paraId="71DBF3EA"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1E295225"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32410BC4"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(0.11)</w:t>
            </w:r>
          </w:p>
        </w:tc>
        <w:tc>
          <w:tcPr>
            <w:tcW w:w="1296" w:type="dxa"/>
            <w:tcBorders>
              <w:top w:val="nil"/>
              <w:left w:val="nil"/>
              <w:bottom w:val="nil"/>
              <w:right w:val="nil"/>
            </w:tcBorders>
          </w:tcPr>
          <w:p w14:paraId="046D2C22"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6B42C43A"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(0.12)</w:t>
            </w:r>
          </w:p>
        </w:tc>
      </w:tr>
      <w:tr w:rsidR="007F018C" w:rsidRPr="00F26EF7" w14:paraId="13C568DC" w14:textId="77777777" w:rsidTr="008439C0">
        <w:trPr>
          <w:jc w:val="center"/>
        </w:trPr>
        <w:tc>
          <w:tcPr>
            <w:tcW w:w="3387" w:type="dxa"/>
            <w:tcBorders>
              <w:top w:val="nil"/>
              <w:left w:val="nil"/>
              <w:bottom w:val="nil"/>
              <w:right w:val="nil"/>
            </w:tcBorders>
          </w:tcPr>
          <w:p w14:paraId="68C31B93"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Constant</w:t>
            </w:r>
          </w:p>
        </w:tc>
        <w:tc>
          <w:tcPr>
            <w:tcW w:w="1296" w:type="dxa"/>
            <w:tcBorders>
              <w:top w:val="nil"/>
              <w:left w:val="nil"/>
              <w:bottom w:val="nil"/>
              <w:right w:val="nil"/>
            </w:tcBorders>
          </w:tcPr>
          <w:p w14:paraId="2005B916"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-0.31***</w:t>
            </w:r>
          </w:p>
        </w:tc>
        <w:tc>
          <w:tcPr>
            <w:tcW w:w="1296" w:type="dxa"/>
            <w:tcBorders>
              <w:top w:val="nil"/>
              <w:left w:val="nil"/>
              <w:bottom w:val="nil"/>
              <w:right w:val="nil"/>
            </w:tcBorders>
          </w:tcPr>
          <w:p w14:paraId="169A3CF0"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-0.31***</w:t>
            </w:r>
          </w:p>
        </w:tc>
        <w:tc>
          <w:tcPr>
            <w:tcW w:w="1296" w:type="dxa"/>
            <w:tcBorders>
              <w:top w:val="nil"/>
              <w:left w:val="nil"/>
              <w:bottom w:val="nil"/>
              <w:right w:val="nil"/>
            </w:tcBorders>
          </w:tcPr>
          <w:p w14:paraId="362082A7"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-0.97***</w:t>
            </w:r>
          </w:p>
        </w:tc>
        <w:tc>
          <w:tcPr>
            <w:tcW w:w="1296" w:type="dxa"/>
            <w:tcBorders>
              <w:top w:val="nil"/>
              <w:left w:val="nil"/>
              <w:bottom w:val="nil"/>
              <w:right w:val="nil"/>
            </w:tcBorders>
          </w:tcPr>
          <w:p w14:paraId="184114BE"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-0.96***</w:t>
            </w:r>
          </w:p>
        </w:tc>
      </w:tr>
      <w:tr w:rsidR="007F018C" w:rsidRPr="00F26EF7" w14:paraId="6DBE74FD" w14:textId="77777777" w:rsidTr="008439C0">
        <w:trPr>
          <w:jc w:val="center"/>
        </w:trPr>
        <w:tc>
          <w:tcPr>
            <w:tcW w:w="3387" w:type="dxa"/>
            <w:tcBorders>
              <w:top w:val="nil"/>
              <w:left w:val="nil"/>
              <w:bottom w:val="nil"/>
              <w:right w:val="nil"/>
            </w:tcBorders>
          </w:tcPr>
          <w:p w14:paraId="17547D5E"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1F5A3087"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(0.05)</w:t>
            </w:r>
          </w:p>
        </w:tc>
        <w:tc>
          <w:tcPr>
            <w:tcW w:w="1296" w:type="dxa"/>
            <w:tcBorders>
              <w:top w:val="nil"/>
              <w:left w:val="nil"/>
              <w:bottom w:val="nil"/>
              <w:right w:val="nil"/>
            </w:tcBorders>
          </w:tcPr>
          <w:p w14:paraId="6204796B"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(0.05)</w:t>
            </w:r>
          </w:p>
        </w:tc>
        <w:tc>
          <w:tcPr>
            <w:tcW w:w="1296" w:type="dxa"/>
            <w:tcBorders>
              <w:top w:val="nil"/>
              <w:left w:val="nil"/>
              <w:bottom w:val="nil"/>
              <w:right w:val="nil"/>
            </w:tcBorders>
          </w:tcPr>
          <w:p w14:paraId="60B2D78F"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(0.12)</w:t>
            </w:r>
          </w:p>
        </w:tc>
        <w:tc>
          <w:tcPr>
            <w:tcW w:w="1296" w:type="dxa"/>
            <w:tcBorders>
              <w:top w:val="nil"/>
              <w:left w:val="nil"/>
              <w:bottom w:val="nil"/>
              <w:right w:val="nil"/>
            </w:tcBorders>
          </w:tcPr>
          <w:p w14:paraId="4804730C"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(0.12)</w:t>
            </w:r>
          </w:p>
        </w:tc>
      </w:tr>
      <w:tr w:rsidR="007F018C" w:rsidRPr="00F26EF7" w14:paraId="7C151228" w14:textId="77777777" w:rsidTr="008439C0">
        <w:trPr>
          <w:jc w:val="center"/>
        </w:trPr>
        <w:tc>
          <w:tcPr>
            <w:tcW w:w="3387" w:type="dxa"/>
            <w:tcBorders>
              <w:top w:val="nil"/>
              <w:left w:val="nil"/>
              <w:bottom w:val="nil"/>
              <w:right w:val="nil"/>
            </w:tcBorders>
          </w:tcPr>
          <w:p w14:paraId="3E9B01C0"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5B9EF58B"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7C3ECAAE"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0FF278B7"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640DAF90"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p>
        </w:tc>
      </w:tr>
      <w:tr w:rsidR="007F018C" w:rsidRPr="00F26EF7" w14:paraId="321A0F7C" w14:textId="77777777" w:rsidTr="008439C0">
        <w:trPr>
          <w:jc w:val="center"/>
        </w:trPr>
        <w:tc>
          <w:tcPr>
            <w:tcW w:w="3387" w:type="dxa"/>
            <w:tcBorders>
              <w:top w:val="nil"/>
              <w:left w:val="nil"/>
              <w:bottom w:val="nil"/>
              <w:right w:val="nil"/>
            </w:tcBorders>
          </w:tcPr>
          <w:p w14:paraId="4F66897B" w14:textId="77777777" w:rsidR="007F018C" w:rsidRPr="00F26EF7" w:rsidRDefault="007F018C"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Observations</w:t>
            </w:r>
          </w:p>
        </w:tc>
        <w:tc>
          <w:tcPr>
            <w:tcW w:w="1296" w:type="dxa"/>
            <w:tcBorders>
              <w:top w:val="nil"/>
              <w:left w:val="nil"/>
              <w:bottom w:val="nil"/>
              <w:right w:val="nil"/>
            </w:tcBorders>
          </w:tcPr>
          <w:p w14:paraId="2BB524C0"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10,722</w:t>
            </w:r>
          </w:p>
        </w:tc>
        <w:tc>
          <w:tcPr>
            <w:tcW w:w="1296" w:type="dxa"/>
            <w:tcBorders>
              <w:top w:val="nil"/>
              <w:left w:val="nil"/>
              <w:bottom w:val="nil"/>
              <w:right w:val="nil"/>
            </w:tcBorders>
          </w:tcPr>
          <w:p w14:paraId="5F4FB742"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10,722</w:t>
            </w:r>
          </w:p>
        </w:tc>
        <w:tc>
          <w:tcPr>
            <w:tcW w:w="1296" w:type="dxa"/>
            <w:tcBorders>
              <w:top w:val="nil"/>
              <w:left w:val="nil"/>
              <w:bottom w:val="nil"/>
              <w:right w:val="nil"/>
            </w:tcBorders>
          </w:tcPr>
          <w:p w14:paraId="10365332"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7,322</w:t>
            </w:r>
          </w:p>
        </w:tc>
        <w:tc>
          <w:tcPr>
            <w:tcW w:w="1296" w:type="dxa"/>
            <w:tcBorders>
              <w:top w:val="nil"/>
              <w:left w:val="nil"/>
              <w:bottom w:val="nil"/>
              <w:right w:val="nil"/>
            </w:tcBorders>
          </w:tcPr>
          <w:p w14:paraId="0F224E14"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7,322</w:t>
            </w:r>
          </w:p>
        </w:tc>
      </w:tr>
      <w:tr w:rsidR="007F018C" w:rsidRPr="00F26EF7" w14:paraId="6F7CB092" w14:textId="77777777" w:rsidTr="008439C0">
        <w:tblPrEx>
          <w:tblBorders>
            <w:bottom w:val="single" w:sz="6" w:space="0" w:color="auto"/>
          </w:tblBorders>
        </w:tblPrEx>
        <w:trPr>
          <w:jc w:val="center"/>
        </w:trPr>
        <w:tc>
          <w:tcPr>
            <w:tcW w:w="3387" w:type="dxa"/>
            <w:tcBorders>
              <w:top w:val="nil"/>
              <w:left w:val="nil"/>
              <w:bottom w:val="single" w:sz="6" w:space="0" w:color="auto"/>
              <w:right w:val="nil"/>
            </w:tcBorders>
          </w:tcPr>
          <w:p w14:paraId="2CD0E70F" w14:textId="7714A187" w:rsidR="007F018C" w:rsidRPr="00F26EF7" w:rsidRDefault="00575EC6"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Log-likelihood</w:t>
            </w:r>
          </w:p>
        </w:tc>
        <w:tc>
          <w:tcPr>
            <w:tcW w:w="1296" w:type="dxa"/>
            <w:tcBorders>
              <w:top w:val="nil"/>
              <w:left w:val="nil"/>
              <w:bottom w:val="single" w:sz="6" w:space="0" w:color="auto"/>
              <w:right w:val="nil"/>
            </w:tcBorders>
          </w:tcPr>
          <w:p w14:paraId="653CEA36"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-3865</w:t>
            </w:r>
          </w:p>
        </w:tc>
        <w:tc>
          <w:tcPr>
            <w:tcW w:w="1296" w:type="dxa"/>
            <w:tcBorders>
              <w:top w:val="nil"/>
              <w:left w:val="nil"/>
              <w:bottom w:val="single" w:sz="6" w:space="0" w:color="auto"/>
              <w:right w:val="nil"/>
            </w:tcBorders>
          </w:tcPr>
          <w:p w14:paraId="6CF2098F"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-3865</w:t>
            </w:r>
          </w:p>
        </w:tc>
        <w:tc>
          <w:tcPr>
            <w:tcW w:w="1296" w:type="dxa"/>
            <w:tcBorders>
              <w:top w:val="nil"/>
              <w:left w:val="nil"/>
              <w:bottom w:val="single" w:sz="6" w:space="0" w:color="auto"/>
              <w:right w:val="nil"/>
            </w:tcBorders>
          </w:tcPr>
          <w:p w14:paraId="1C659B07"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-3204</w:t>
            </w:r>
          </w:p>
        </w:tc>
        <w:tc>
          <w:tcPr>
            <w:tcW w:w="1296" w:type="dxa"/>
            <w:tcBorders>
              <w:top w:val="nil"/>
              <w:left w:val="nil"/>
              <w:bottom w:val="single" w:sz="6" w:space="0" w:color="auto"/>
              <w:right w:val="nil"/>
            </w:tcBorders>
          </w:tcPr>
          <w:p w14:paraId="00F91A90" w14:textId="77777777" w:rsidR="007F018C" w:rsidRPr="00F26EF7" w:rsidRDefault="007F018C"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-3205</w:t>
            </w:r>
          </w:p>
        </w:tc>
      </w:tr>
    </w:tbl>
    <w:p w14:paraId="42EED3B6" w14:textId="23CF9CF2" w:rsidR="00F405BC" w:rsidRPr="00F26EF7" w:rsidRDefault="00D4646A" w:rsidP="00575EC6">
      <w:pPr>
        <w:spacing w:line="240" w:lineRule="auto"/>
        <w:ind w:left="2124" w:firstLine="708"/>
        <w:rPr>
          <w:rFonts w:cs="Times New Roman"/>
          <w:sz w:val="24"/>
          <w:szCs w:val="24"/>
          <w:lang w:val="en-US"/>
        </w:rPr>
      </w:pPr>
      <w:r w:rsidRPr="00F26EF7">
        <w:rPr>
          <w:rFonts w:cs="Times New Roman"/>
          <w:sz w:val="24"/>
          <w:szCs w:val="24"/>
          <w:lang w:val="en-US"/>
        </w:rPr>
        <w:t>Standard errors in parentheses</w:t>
      </w:r>
    </w:p>
    <w:p w14:paraId="5F3CCE86"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 p&lt;0.01, ** p&lt;0.05, * p&lt;0.1</w:t>
      </w:r>
    </w:p>
    <w:p w14:paraId="3ACBE09E" w14:textId="77777777" w:rsidR="00F405BC" w:rsidRPr="00F26EF7" w:rsidRDefault="00F405BC">
      <w:pPr>
        <w:rPr>
          <w:b/>
          <w:sz w:val="24"/>
          <w:szCs w:val="24"/>
          <w:lang w:val="en-US"/>
        </w:rPr>
      </w:pPr>
    </w:p>
    <w:p w14:paraId="3A74E37E" w14:textId="15D23363" w:rsidR="00F405BC" w:rsidRPr="00F26EF7" w:rsidRDefault="00D4646A">
      <w:pPr>
        <w:rPr>
          <w:lang w:val="en-US"/>
        </w:rPr>
      </w:pPr>
      <w:r w:rsidRPr="00F26EF7">
        <w:rPr>
          <w:sz w:val="24"/>
          <w:szCs w:val="24"/>
          <w:lang w:val="en-US"/>
        </w:rPr>
        <w:t xml:space="preserve">The findings in Model 1 may </w:t>
      </w:r>
      <w:r w:rsidR="00E325EB">
        <w:rPr>
          <w:sz w:val="24"/>
          <w:szCs w:val="24"/>
          <w:lang w:val="en-US"/>
        </w:rPr>
        <w:t xml:space="preserve">reflect </w:t>
      </w:r>
      <w:r w:rsidRPr="00F26EF7">
        <w:rPr>
          <w:sz w:val="24"/>
          <w:szCs w:val="24"/>
          <w:lang w:val="en-US"/>
        </w:rPr>
        <w:t xml:space="preserve">more the relative frequency of currency crises than </w:t>
      </w:r>
      <w:r w:rsidR="00E325EB">
        <w:rPr>
          <w:sz w:val="24"/>
          <w:szCs w:val="24"/>
          <w:lang w:val="en-US"/>
        </w:rPr>
        <w:t xml:space="preserve">actual </w:t>
      </w:r>
      <w:r w:rsidRPr="00F26EF7">
        <w:rPr>
          <w:sz w:val="24"/>
          <w:szCs w:val="24"/>
          <w:lang w:val="en-US"/>
        </w:rPr>
        <w:t>differences in impact</w:t>
      </w:r>
      <w:r w:rsidR="000157C7" w:rsidRPr="00F26EF7">
        <w:rPr>
          <w:sz w:val="24"/>
          <w:szCs w:val="24"/>
          <w:lang w:val="en-US"/>
        </w:rPr>
        <w:t xml:space="preserve"> </w:t>
      </w:r>
      <w:r w:rsidR="00E325EB">
        <w:rPr>
          <w:sz w:val="24"/>
          <w:szCs w:val="24"/>
          <w:lang w:val="en-US"/>
        </w:rPr>
        <w:t xml:space="preserve">to </w:t>
      </w:r>
      <w:r w:rsidR="000157C7" w:rsidRPr="00F26EF7">
        <w:rPr>
          <w:sz w:val="24"/>
          <w:szCs w:val="24"/>
          <w:lang w:val="en-US"/>
        </w:rPr>
        <w:t xml:space="preserve">other </w:t>
      </w:r>
      <w:r w:rsidR="00E325EB">
        <w:rPr>
          <w:sz w:val="24"/>
          <w:szCs w:val="24"/>
          <w:lang w:val="en-US"/>
        </w:rPr>
        <w:t xml:space="preserve">types of </w:t>
      </w:r>
      <w:r w:rsidR="000157C7" w:rsidRPr="00F26EF7">
        <w:rPr>
          <w:sz w:val="24"/>
          <w:szCs w:val="24"/>
          <w:lang w:val="en-US"/>
        </w:rPr>
        <w:t>crisis</w:t>
      </w:r>
      <w:r w:rsidRPr="00F26EF7">
        <w:rPr>
          <w:sz w:val="24"/>
          <w:szCs w:val="24"/>
          <w:lang w:val="en-US"/>
        </w:rPr>
        <w:t>. In Model 2 we replace the individual crises with a term fl</w:t>
      </w:r>
      <w:r w:rsidR="00C6577B" w:rsidRPr="00F26EF7">
        <w:rPr>
          <w:sz w:val="24"/>
          <w:szCs w:val="24"/>
          <w:lang w:val="en-US"/>
        </w:rPr>
        <w:t xml:space="preserve">agging any crisis over a period. </w:t>
      </w:r>
      <w:r w:rsidRPr="00F26EF7">
        <w:rPr>
          <w:sz w:val="24"/>
          <w:szCs w:val="24"/>
          <w:lang w:val="en-US"/>
        </w:rPr>
        <w:t xml:space="preserve">As can be seen, this fits the data </w:t>
      </w:r>
      <w:r w:rsidR="00F9726C" w:rsidRPr="00F26EF7">
        <w:rPr>
          <w:sz w:val="24"/>
          <w:szCs w:val="24"/>
          <w:lang w:val="en-US"/>
        </w:rPr>
        <w:t>about equally</w:t>
      </w:r>
      <w:r w:rsidRPr="00F26EF7">
        <w:rPr>
          <w:sz w:val="24"/>
          <w:szCs w:val="24"/>
          <w:lang w:val="en-US"/>
        </w:rPr>
        <w:t xml:space="preserve"> </w:t>
      </w:r>
      <w:r w:rsidR="0076579B" w:rsidRPr="00F26EF7">
        <w:rPr>
          <w:sz w:val="24"/>
          <w:szCs w:val="24"/>
          <w:lang w:val="en-US"/>
        </w:rPr>
        <w:t xml:space="preserve">as </w:t>
      </w:r>
      <w:r w:rsidRPr="00F26EF7">
        <w:rPr>
          <w:sz w:val="24"/>
          <w:szCs w:val="24"/>
          <w:lang w:val="en-US"/>
        </w:rPr>
        <w:t xml:space="preserve">well in terms of the log-likelihood as the model distinguishing between the three types of crises. </w:t>
      </w:r>
      <w:r w:rsidR="00E325EB" w:rsidRPr="00F26EF7">
        <w:rPr>
          <w:sz w:val="24"/>
          <w:szCs w:val="24"/>
          <w:lang w:val="en-US"/>
        </w:rPr>
        <w:t xml:space="preserve">This </w:t>
      </w:r>
      <w:r w:rsidR="00E325EB">
        <w:rPr>
          <w:sz w:val="24"/>
          <w:szCs w:val="24"/>
          <w:lang w:val="en-US"/>
        </w:rPr>
        <w:t xml:space="preserve">also </w:t>
      </w:r>
      <w:r w:rsidR="00E325EB" w:rsidRPr="00F26EF7">
        <w:rPr>
          <w:sz w:val="24"/>
          <w:szCs w:val="24"/>
          <w:lang w:val="en-US"/>
        </w:rPr>
        <w:t xml:space="preserve">suggests </w:t>
      </w:r>
      <w:r w:rsidR="00503D58">
        <w:rPr>
          <w:sz w:val="24"/>
          <w:szCs w:val="24"/>
          <w:lang w:val="en-US"/>
        </w:rPr>
        <w:t xml:space="preserve">higher </w:t>
      </w:r>
      <w:r w:rsidR="00E325EB" w:rsidRPr="00F26EF7">
        <w:rPr>
          <w:sz w:val="24"/>
          <w:szCs w:val="24"/>
          <w:lang w:val="en-US"/>
        </w:rPr>
        <w:t xml:space="preserve">odds of protest </w:t>
      </w:r>
      <w:r w:rsidR="00E325EB">
        <w:rPr>
          <w:sz w:val="24"/>
          <w:szCs w:val="24"/>
          <w:lang w:val="en-US"/>
        </w:rPr>
        <w:t xml:space="preserve">following a crisis than </w:t>
      </w:r>
      <w:r w:rsidR="00503D58">
        <w:rPr>
          <w:sz w:val="24"/>
          <w:szCs w:val="24"/>
          <w:lang w:val="en-US"/>
        </w:rPr>
        <w:t xml:space="preserve">after </w:t>
      </w:r>
      <w:r w:rsidR="00E325EB" w:rsidRPr="00F26EF7">
        <w:rPr>
          <w:sz w:val="24"/>
          <w:szCs w:val="24"/>
          <w:lang w:val="en-US"/>
        </w:rPr>
        <w:t>an IMF program.</w:t>
      </w:r>
    </w:p>
    <w:p w14:paraId="3148274D" w14:textId="7BCE16A9" w:rsidR="00F405BC" w:rsidRPr="00F26EF7" w:rsidRDefault="00A24BDE">
      <w:pPr>
        <w:rPr>
          <w:lang w:val="en-US"/>
        </w:rPr>
      </w:pPr>
      <w:r w:rsidRPr="00F26EF7">
        <w:rPr>
          <w:sz w:val="24"/>
          <w:szCs w:val="24"/>
          <w:lang w:val="en-US"/>
        </w:rPr>
        <w:lastRenderedPageBreak/>
        <w:t>In M</w:t>
      </w:r>
      <w:r w:rsidR="00D4646A" w:rsidRPr="00F26EF7">
        <w:rPr>
          <w:sz w:val="24"/>
          <w:szCs w:val="24"/>
          <w:lang w:val="en-US"/>
        </w:rPr>
        <w:t xml:space="preserve">odel 3 we add </w:t>
      </w:r>
      <w:r w:rsidR="00C6577B" w:rsidRPr="00F26EF7">
        <w:rPr>
          <w:sz w:val="24"/>
          <w:szCs w:val="24"/>
          <w:lang w:val="en-US"/>
        </w:rPr>
        <w:t>a control for CPIs as a meas</w:t>
      </w:r>
      <w:r w:rsidR="00C534A0" w:rsidRPr="00F26EF7">
        <w:rPr>
          <w:sz w:val="24"/>
          <w:szCs w:val="24"/>
          <w:lang w:val="en-US"/>
        </w:rPr>
        <w:t>ure</w:t>
      </w:r>
      <w:r w:rsidR="00C6577B" w:rsidRPr="00F26EF7">
        <w:rPr>
          <w:sz w:val="24"/>
          <w:szCs w:val="24"/>
          <w:lang w:val="en-US"/>
        </w:rPr>
        <w:t xml:space="preserve"> </w:t>
      </w:r>
      <w:r w:rsidR="00C534A0" w:rsidRPr="00F26EF7">
        <w:rPr>
          <w:sz w:val="24"/>
          <w:szCs w:val="24"/>
          <w:lang w:val="en-US"/>
        </w:rPr>
        <w:t xml:space="preserve">reflecting the </w:t>
      </w:r>
      <w:r w:rsidR="00D4646A" w:rsidRPr="00F26EF7">
        <w:rPr>
          <w:sz w:val="24"/>
          <w:szCs w:val="24"/>
          <w:lang w:val="en-US"/>
        </w:rPr>
        <w:t xml:space="preserve">impact </w:t>
      </w:r>
      <w:r w:rsidR="00C534A0" w:rsidRPr="00F26EF7">
        <w:rPr>
          <w:sz w:val="24"/>
          <w:szCs w:val="24"/>
          <w:lang w:val="en-US"/>
        </w:rPr>
        <w:t xml:space="preserve">of crises </w:t>
      </w:r>
      <w:r w:rsidR="00D4646A" w:rsidRPr="00F26EF7">
        <w:rPr>
          <w:sz w:val="24"/>
          <w:szCs w:val="24"/>
          <w:lang w:val="en-US"/>
        </w:rPr>
        <w:t xml:space="preserve">on the local economy. </w:t>
      </w:r>
      <w:r w:rsidR="00880B05">
        <w:rPr>
          <w:sz w:val="24"/>
          <w:szCs w:val="24"/>
          <w:lang w:val="en-US"/>
        </w:rPr>
        <w:t xml:space="preserve">The results suggest </w:t>
      </w:r>
      <w:r w:rsidR="00D4646A" w:rsidRPr="00F26EF7">
        <w:rPr>
          <w:sz w:val="24"/>
          <w:szCs w:val="24"/>
          <w:lang w:val="en-US"/>
        </w:rPr>
        <w:t xml:space="preserve">that higher CPIs </w:t>
      </w:r>
      <w:r w:rsidR="00CE552A" w:rsidRPr="00F26EF7">
        <w:rPr>
          <w:sz w:val="24"/>
          <w:szCs w:val="24"/>
          <w:lang w:val="en-US"/>
        </w:rPr>
        <w:t xml:space="preserve">are associated </w:t>
      </w:r>
      <w:r w:rsidR="00D4646A" w:rsidRPr="00F26EF7">
        <w:rPr>
          <w:sz w:val="24"/>
          <w:szCs w:val="24"/>
          <w:lang w:val="en-US"/>
        </w:rPr>
        <w:t xml:space="preserve">with a higher likelihood of protest onset. Adding this to the model reduces the positive coefficient for IMF programs </w:t>
      </w:r>
      <w:r w:rsidR="00A25008" w:rsidRPr="00F26EF7">
        <w:rPr>
          <w:sz w:val="24"/>
          <w:szCs w:val="24"/>
          <w:lang w:val="en-US"/>
        </w:rPr>
        <w:t>by</w:t>
      </w:r>
      <w:r w:rsidR="00D4646A" w:rsidRPr="00F26EF7">
        <w:rPr>
          <w:sz w:val="24"/>
          <w:szCs w:val="24"/>
          <w:lang w:val="en-US"/>
        </w:rPr>
        <w:t xml:space="preserve"> almost hal</w:t>
      </w:r>
      <w:r w:rsidR="00503D58">
        <w:rPr>
          <w:sz w:val="24"/>
          <w:szCs w:val="24"/>
          <w:lang w:val="en-US"/>
        </w:rPr>
        <w:t>f, while the crisis coefficients change</w:t>
      </w:r>
      <w:r w:rsidR="00D4646A" w:rsidRPr="00F26EF7">
        <w:rPr>
          <w:sz w:val="24"/>
          <w:szCs w:val="24"/>
          <w:lang w:val="en-US"/>
        </w:rPr>
        <w:t xml:space="preserve"> much less. </w:t>
      </w:r>
      <w:r w:rsidR="007B3FDE" w:rsidRPr="00F26EF7">
        <w:rPr>
          <w:sz w:val="24"/>
          <w:szCs w:val="24"/>
          <w:lang w:val="en-US"/>
        </w:rPr>
        <w:t xml:space="preserve">Model 4 replicates Model 3 with the joint term indicating any crisis. </w:t>
      </w:r>
      <w:r w:rsidR="00503D58">
        <w:rPr>
          <w:sz w:val="24"/>
          <w:szCs w:val="24"/>
          <w:lang w:val="en-US"/>
        </w:rPr>
        <w:t xml:space="preserve">Again, </w:t>
      </w:r>
      <w:r w:rsidR="007B3FDE" w:rsidRPr="00F26EF7">
        <w:rPr>
          <w:sz w:val="24"/>
          <w:szCs w:val="24"/>
          <w:lang w:val="en-US"/>
        </w:rPr>
        <w:t>the log-likelihood</w:t>
      </w:r>
      <w:r w:rsidR="00C727D9" w:rsidRPr="00F26EF7">
        <w:rPr>
          <w:sz w:val="24"/>
          <w:szCs w:val="24"/>
          <w:lang w:val="en-US"/>
        </w:rPr>
        <w:t>s</w:t>
      </w:r>
      <w:r w:rsidR="00503D58">
        <w:rPr>
          <w:sz w:val="24"/>
          <w:szCs w:val="24"/>
          <w:lang w:val="en-US"/>
        </w:rPr>
        <w:t xml:space="preserve"> indicate that </w:t>
      </w:r>
      <w:r w:rsidR="007B3FDE" w:rsidRPr="00F26EF7">
        <w:rPr>
          <w:sz w:val="24"/>
          <w:szCs w:val="24"/>
          <w:lang w:val="en-US"/>
        </w:rPr>
        <w:t xml:space="preserve">the decrease in fit </w:t>
      </w:r>
      <w:r w:rsidR="00DF0BC3" w:rsidRPr="00F26EF7">
        <w:rPr>
          <w:sz w:val="24"/>
          <w:szCs w:val="24"/>
          <w:lang w:val="en-US"/>
        </w:rPr>
        <w:t xml:space="preserve">by </w:t>
      </w:r>
      <w:r w:rsidR="007B3FDE" w:rsidRPr="00F26EF7">
        <w:rPr>
          <w:sz w:val="24"/>
          <w:szCs w:val="24"/>
          <w:lang w:val="en-US"/>
        </w:rPr>
        <w:t xml:space="preserve">combining </w:t>
      </w:r>
      <w:r w:rsidR="00DF0BC3" w:rsidRPr="00F26EF7">
        <w:rPr>
          <w:sz w:val="24"/>
          <w:szCs w:val="24"/>
          <w:lang w:val="en-US"/>
        </w:rPr>
        <w:t xml:space="preserve">all </w:t>
      </w:r>
      <w:r w:rsidR="00C727D9" w:rsidRPr="00F26EF7">
        <w:rPr>
          <w:sz w:val="24"/>
          <w:szCs w:val="24"/>
          <w:lang w:val="en-US"/>
        </w:rPr>
        <w:t xml:space="preserve">the measure </w:t>
      </w:r>
      <w:r w:rsidR="00DF0BC3" w:rsidRPr="00F26EF7">
        <w:rPr>
          <w:sz w:val="24"/>
          <w:szCs w:val="24"/>
          <w:lang w:val="en-US"/>
        </w:rPr>
        <w:t xml:space="preserve">in a single term </w:t>
      </w:r>
      <w:r w:rsidR="00C727D9" w:rsidRPr="00F26EF7">
        <w:rPr>
          <w:sz w:val="24"/>
          <w:szCs w:val="24"/>
          <w:lang w:val="en-US"/>
        </w:rPr>
        <w:t xml:space="preserve">is very small. </w:t>
      </w:r>
    </w:p>
    <w:p w14:paraId="115511AF" w14:textId="441EBEB8" w:rsidR="007B3FDE" w:rsidRPr="00F26EF7" w:rsidRDefault="007B3FDE" w:rsidP="007B3FDE">
      <w:pPr>
        <w:rPr>
          <w:lang w:val="en-US"/>
        </w:rPr>
      </w:pPr>
      <w:r w:rsidRPr="00F26EF7">
        <w:rPr>
          <w:sz w:val="24"/>
          <w:szCs w:val="24"/>
          <w:lang w:val="en-US"/>
        </w:rPr>
        <w:t xml:space="preserve">In Models 1 and 2 in Table </w:t>
      </w:r>
      <w:r w:rsidR="00AA6F89" w:rsidRPr="00F26EF7">
        <w:rPr>
          <w:sz w:val="24"/>
          <w:szCs w:val="24"/>
          <w:lang w:val="en-US"/>
        </w:rPr>
        <w:t>3</w:t>
      </w:r>
      <w:r w:rsidR="00B061C8" w:rsidRPr="00F26EF7">
        <w:rPr>
          <w:sz w:val="24"/>
          <w:szCs w:val="24"/>
          <w:lang w:val="en-US"/>
        </w:rPr>
        <w:t xml:space="preserve"> </w:t>
      </w:r>
      <w:r w:rsidRPr="00F26EF7">
        <w:rPr>
          <w:sz w:val="24"/>
          <w:szCs w:val="24"/>
          <w:lang w:val="en-US"/>
        </w:rPr>
        <w:t xml:space="preserve">we </w:t>
      </w:r>
      <w:r w:rsidR="00B061C8" w:rsidRPr="00F26EF7">
        <w:rPr>
          <w:sz w:val="24"/>
          <w:szCs w:val="24"/>
          <w:lang w:val="en-US"/>
        </w:rPr>
        <w:t xml:space="preserve">report the results for estimates for </w:t>
      </w:r>
      <w:r w:rsidRPr="00F26EF7">
        <w:rPr>
          <w:sz w:val="24"/>
          <w:szCs w:val="24"/>
          <w:lang w:val="en-US"/>
        </w:rPr>
        <w:t xml:space="preserve">transitions out of conflict, i.e. the likelihood that a protest spell will come to an end. Here we find a negative effect of crises as well as negative effects for CPI and changes in CPI. In short, these estimates indicate that crises </w:t>
      </w:r>
      <w:r w:rsidR="00CE552A" w:rsidRPr="00F26EF7">
        <w:rPr>
          <w:sz w:val="24"/>
          <w:szCs w:val="24"/>
          <w:lang w:val="en-US"/>
        </w:rPr>
        <w:t>cause</w:t>
      </w:r>
      <w:r w:rsidRPr="00F26EF7">
        <w:rPr>
          <w:sz w:val="24"/>
          <w:szCs w:val="24"/>
          <w:lang w:val="en-US"/>
        </w:rPr>
        <w:t xml:space="preserve"> protest </w:t>
      </w:r>
      <w:r w:rsidR="00CE552A" w:rsidRPr="00F26EF7">
        <w:rPr>
          <w:sz w:val="24"/>
          <w:szCs w:val="24"/>
          <w:lang w:val="en-US"/>
        </w:rPr>
        <w:t xml:space="preserve">to be </w:t>
      </w:r>
      <w:r w:rsidRPr="00F26EF7">
        <w:rPr>
          <w:sz w:val="24"/>
          <w:szCs w:val="24"/>
          <w:lang w:val="en-US"/>
        </w:rPr>
        <w:t xml:space="preserve">more persistent. For IMF programs the coefficient is negative, but </w:t>
      </w:r>
      <w:r w:rsidR="00B061C8" w:rsidRPr="00F26EF7">
        <w:rPr>
          <w:sz w:val="24"/>
          <w:szCs w:val="24"/>
          <w:lang w:val="en-US"/>
        </w:rPr>
        <w:t xml:space="preserve">very small in comparison to crises, and </w:t>
      </w:r>
      <w:r w:rsidRPr="00F26EF7">
        <w:rPr>
          <w:sz w:val="24"/>
          <w:szCs w:val="24"/>
          <w:lang w:val="en-US"/>
        </w:rPr>
        <w:t xml:space="preserve">not significant. </w:t>
      </w:r>
      <w:r w:rsidR="00B061C8" w:rsidRPr="00F26EF7">
        <w:rPr>
          <w:sz w:val="24"/>
          <w:szCs w:val="24"/>
          <w:lang w:val="en-US"/>
        </w:rPr>
        <w:t xml:space="preserve">As such, there </w:t>
      </w:r>
      <w:r w:rsidR="00820C93" w:rsidRPr="00F26EF7">
        <w:rPr>
          <w:sz w:val="24"/>
          <w:szCs w:val="24"/>
          <w:lang w:val="en-US"/>
        </w:rPr>
        <w:t xml:space="preserve">is little support for the proposition that IMF programs make protest more persistent, over the impact of economic crises on sustaining protest. </w:t>
      </w:r>
    </w:p>
    <w:p w14:paraId="077E8E44" w14:textId="5983869B" w:rsidR="007943AB" w:rsidRDefault="007943AB">
      <w:pPr>
        <w:spacing w:after="0" w:line="240" w:lineRule="auto"/>
        <w:jc w:val="left"/>
        <w:rPr>
          <w:sz w:val="24"/>
          <w:szCs w:val="24"/>
          <w:lang w:val="en-US"/>
        </w:rPr>
      </w:pPr>
      <w:r>
        <w:rPr>
          <w:sz w:val="24"/>
          <w:szCs w:val="24"/>
          <w:lang w:val="en-US"/>
        </w:rPr>
        <w:br w:type="page"/>
      </w:r>
    </w:p>
    <w:p w14:paraId="1C0369D6" w14:textId="2751C851" w:rsidR="00B061C8" w:rsidRPr="00F26EF7" w:rsidRDefault="00D4763F" w:rsidP="00856037">
      <w:pPr>
        <w:outlineLvl w:val="0"/>
        <w:rPr>
          <w:sz w:val="24"/>
          <w:szCs w:val="24"/>
          <w:lang w:val="en-US"/>
        </w:rPr>
      </w:pPr>
      <w:r w:rsidRPr="00F26EF7">
        <w:rPr>
          <w:sz w:val="24"/>
          <w:szCs w:val="24"/>
          <w:lang w:val="en-US"/>
        </w:rPr>
        <w:lastRenderedPageBreak/>
        <w:t>Table 3: Protest termination</w:t>
      </w:r>
    </w:p>
    <w:tbl>
      <w:tblPr>
        <w:tblW w:w="0" w:type="auto"/>
        <w:jc w:val="center"/>
        <w:tblLayout w:type="fixed"/>
        <w:tblCellMar>
          <w:left w:w="75" w:type="dxa"/>
          <w:right w:w="75" w:type="dxa"/>
        </w:tblCellMar>
        <w:tblLook w:val="0000" w:firstRow="0" w:lastRow="0" w:firstColumn="0" w:lastColumn="0" w:noHBand="0" w:noVBand="0"/>
      </w:tblPr>
      <w:tblGrid>
        <w:gridCol w:w="3819"/>
        <w:gridCol w:w="1296"/>
        <w:gridCol w:w="1296"/>
      </w:tblGrid>
      <w:tr w:rsidR="00375C75" w:rsidRPr="00F26EF7" w14:paraId="1B1AE47E" w14:textId="77777777" w:rsidTr="008439C0">
        <w:trPr>
          <w:jc w:val="center"/>
        </w:trPr>
        <w:tc>
          <w:tcPr>
            <w:tcW w:w="3819" w:type="dxa"/>
            <w:tcBorders>
              <w:top w:val="single" w:sz="6" w:space="0" w:color="auto"/>
              <w:left w:val="nil"/>
              <w:bottom w:val="nil"/>
              <w:right w:val="nil"/>
            </w:tcBorders>
          </w:tcPr>
          <w:p w14:paraId="792EC568"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single" w:sz="6" w:space="0" w:color="auto"/>
              <w:left w:val="nil"/>
              <w:bottom w:val="nil"/>
              <w:right w:val="nil"/>
            </w:tcBorders>
          </w:tcPr>
          <w:p w14:paraId="12581813"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(1)</w:t>
            </w:r>
          </w:p>
        </w:tc>
        <w:tc>
          <w:tcPr>
            <w:tcW w:w="1296" w:type="dxa"/>
            <w:tcBorders>
              <w:top w:val="single" w:sz="6" w:space="0" w:color="auto"/>
              <w:left w:val="nil"/>
              <w:bottom w:val="nil"/>
              <w:right w:val="nil"/>
            </w:tcBorders>
          </w:tcPr>
          <w:p w14:paraId="58A05CF4"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(2)</w:t>
            </w:r>
          </w:p>
        </w:tc>
      </w:tr>
      <w:tr w:rsidR="00375C75" w:rsidRPr="00F26EF7" w14:paraId="79E6381D" w14:textId="77777777" w:rsidTr="008439C0">
        <w:trPr>
          <w:jc w:val="center"/>
        </w:trPr>
        <w:tc>
          <w:tcPr>
            <w:tcW w:w="3819" w:type="dxa"/>
            <w:tcBorders>
              <w:top w:val="nil"/>
              <w:left w:val="nil"/>
              <w:bottom w:val="single" w:sz="6" w:space="0" w:color="auto"/>
              <w:right w:val="nil"/>
            </w:tcBorders>
          </w:tcPr>
          <w:p w14:paraId="71BC862B"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VARIABLES</w:t>
            </w:r>
          </w:p>
        </w:tc>
        <w:tc>
          <w:tcPr>
            <w:tcW w:w="1296" w:type="dxa"/>
            <w:tcBorders>
              <w:top w:val="nil"/>
              <w:left w:val="nil"/>
              <w:bottom w:val="single" w:sz="6" w:space="0" w:color="auto"/>
              <w:right w:val="nil"/>
            </w:tcBorders>
          </w:tcPr>
          <w:p w14:paraId="68741C00"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Model 1</w:t>
            </w:r>
          </w:p>
        </w:tc>
        <w:tc>
          <w:tcPr>
            <w:tcW w:w="1296" w:type="dxa"/>
            <w:tcBorders>
              <w:top w:val="nil"/>
              <w:left w:val="nil"/>
              <w:bottom w:val="single" w:sz="6" w:space="0" w:color="auto"/>
              <w:right w:val="nil"/>
            </w:tcBorders>
          </w:tcPr>
          <w:p w14:paraId="496319EB"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Model 2</w:t>
            </w:r>
          </w:p>
        </w:tc>
      </w:tr>
      <w:tr w:rsidR="00375C75" w:rsidRPr="00F26EF7" w14:paraId="4EC8B5DD" w14:textId="77777777" w:rsidTr="008439C0">
        <w:trPr>
          <w:jc w:val="center"/>
        </w:trPr>
        <w:tc>
          <w:tcPr>
            <w:tcW w:w="3819" w:type="dxa"/>
            <w:tcBorders>
              <w:top w:val="nil"/>
              <w:left w:val="nil"/>
              <w:bottom w:val="nil"/>
              <w:right w:val="nil"/>
            </w:tcBorders>
          </w:tcPr>
          <w:p w14:paraId="1003B862"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79C54736"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2049EAFD"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p>
        </w:tc>
      </w:tr>
      <w:tr w:rsidR="00375C75" w:rsidRPr="00F26EF7" w14:paraId="549BA638" w14:textId="77777777" w:rsidTr="008439C0">
        <w:trPr>
          <w:jc w:val="center"/>
        </w:trPr>
        <w:tc>
          <w:tcPr>
            <w:tcW w:w="3819" w:type="dxa"/>
            <w:tcBorders>
              <w:top w:val="nil"/>
              <w:left w:val="nil"/>
              <w:bottom w:val="nil"/>
              <w:right w:val="nil"/>
            </w:tcBorders>
          </w:tcPr>
          <w:p w14:paraId="04F5C3D8" w14:textId="6879DC97" w:rsidR="00375C75" w:rsidRPr="00F26EF7" w:rsidRDefault="00375C75"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IMF program</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6366DFCD"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-0.09</w:t>
            </w:r>
          </w:p>
        </w:tc>
        <w:tc>
          <w:tcPr>
            <w:tcW w:w="1296" w:type="dxa"/>
            <w:tcBorders>
              <w:top w:val="nil"/>
              <w:left w:val="nil"/>
              <w:bottom w:val="nil"/>
              <w:right w:val="nil"/>
            </w:tcBorders>
          </w:tcPr>
          <w:p w14:paraId="7CA4AD5C"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-0.10</w:t>
            </w:r>
          </w:p>
        </w:tc>
      </w:tr>
      <w:tr w:rsidR="00375C75" w:rsidRPr="00F26EF7" w14:paraId="3747253D" w14:textId="77777777" w:rsidTr="008439C0">
        <w:trPr>
          <w:jc w:val="center"/>
        </w:trPr>
        <w:tc>
          <w:tcPr>
            <w:tcW w:w="3819" w:type="dxa"/>
            <w:tcBorders>
              <w:top w:val="nil"/>
              <w:left w:val="nil"/>
              <w:bottom w:val="nil"/>
              <w:right w:val="nil"/>
            </w:tcBorders>
          </w:tcPr>
          <w:p w14:paraId="72449FA9"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4DAE171F"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(0.09)</w:t>
            </w:r>
          </w:p>
        </w:tc>
        <w:tc>
          <w:tcPr>
            <w:tcW w:w="1296" w:type="dxa"/>
            <w:tcBorders>
              <w:top w:val="nil"/>
              <w:left w:val="nil"/>
              <w:bottom w:val="nil"/>
              <w:right w:val="nil"/>
            </w:tcBorders>
          </w:tcPr>
          <w:p w14:paraId="2AB9DC5A"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(0.09)</w:t>
            </w:r>
          </w:p>
        </w:tc>
      </w:tr>
      <w:tr w:rsidR="00375C75" w:rsidRPr="00F26EF7" w14:paraId="3B3DCE45" w14:textId="77777777" w:rsidTr="008439C0">
        <w:trPr>
          <w:jc w:val="center"/>
        </w:trPr>
        <w:tc>
          <w:tcPr>
            <w:tcW w:w="3819" w:type="dxa"/>
            <w:tcBorders>
              <w:top w:val="nil"/>
              <w:left w:val="nil"/>
              <w:bottom w:val="nil"/>
              <w:right w:val="nil"/>
            </w:tcBorders>
          </w:tcPr>
          <w:p w14:paraId="3F6C6602" w14:textId="62B5B8FE" w:rsidR="00375C75" w:rsidRPr="00F26EF7" w:rsidRDefault="00375C75"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Sover</w:t>
            </w:r>
            <w:r w:rsidR="0054252E" w:rsidRPr="00F26EF7">
              <w:rPr>
                <w:rFonts w:cs="Times New Roman"/>
                <w:sz w:val="24"/>
                <w:szCs w:val="24"/>
                <w:lang w:val="en-US"/>
              </w:rPr>
              <w:t>e</w:t>
            </w:r>
            <w:r w:rsidRPr="00F26EF7">
              <w:rPr>
                <w:rFonts w:cs="Times New Roman"/>
                <w:sz w:val="24"/>
                <w:szCs w:val="24"/>
                <w:lang w:val="en-US"/>
              </w:rPr>
              <w:t>ign debt crisis</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3C923431"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-0.63**</w:t>
            </w:r>
          </w:p>
        </w:tc>
        <w:tc>
          <w:tcPr>
            <w:tcW w:w="1296" w:type="dxa"/>
            <w:tcBorders>
              <w:top w:val="nil"/>
              <w:left w:val="nil"/>
              <w:bottom w:val="nil"/>
              <w:right w:val="nil"/>
            </w:tcBorders>
          </w:tcPr>
          <w:p w14:paraId="4FE910FE"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p>
        </w:tc>
      </w:tr>
      <w:tr w:rsidR="00375C75" w:rsidRPr="00F26EF7" w14:paraId="54BD39A2" w14:textId="77777777" w:rsidTr="008439C0">
        <w:trPr>
          <w:jc w:val="center"/>
        </w:trPr>
        <w:tc>
          <w:tcPr>
            <w:tcW w:w="3819" w:type="dxa"/>
            <w:tcBorders>
              <w:top w:val="nil"/>
              <w:left w:val="nil"/>
              <w:bottom w:val="nil"/>
              <w:right w:val="nil"/>
            </w:tcBorders>
          </w:tcPr>
          <w:p w14:paraId="4D1EF96B"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38535B3C"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(0.31)</w:t>
            </w:r>
          </w:p>
        </w:tc>
        <w:tc>
          <w:tcPr>
            <w:tcW w:w="1296" w:type="dxa"/>
            <w:tcBorders>
              <w:top w:val="nil"/>
              <w:left w:val="nil"/>
              <w:bottom w:val="nil"/>
              <w:right w:val="nil"/>
            </w:tcBorders>
          </w:tcPr>
          <w:p w14:paraId="70DFCCB5"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p>
        </w:tc>
      </w:tr>
      <w:tr w:rsidR="00375C75" w:rsidRPr="00F26EF7" w14:paraId="1597C048" w14:textId="77777777" w:rsidTr="008439C0">
        <w:trPr>
          <w:jc w:val="center"/>
        </w:trPr>
        <w:tc>
          <w:tcPr>
            <w:tcW w:w="3819" w:type="dxa"/>
            <w:tcBorders>
              <w:top w:val="nil"/>
              <w:left w:val="nil"/>
              <w:bottom w:val="nil"/>
              <w:right w:val="nil"/>
            </w:tcBorders>
          </w:tcPr>
          <w:p w14:paraId="7A58DBAE" w14:textId="7EC8AD92" w:rsidR="00375C75" w:rsidRPr="00F26EF7" w:rsidRDefault="00375C75"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 xml:space="preserve">Currency </w:t>
            </w:r>
            <w:r w:rsidR="00711330" w:rsidRPr="00F26EF7">
              <w:rPr>
                <w:rFonts w:cs="Times New Roman"/>
                <w:sz w:val="24"/>
                <w:szCs w:val="24"/>
                <w:lang w:val="en-US"/>
              </w:rPr>
              <w:t>crisis</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3DF0AEA1"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-0.07</w:t>
            </w:r>
          </w:p>
        </w:tc>
        <w:tc>
          <w:tcPr>
            <w:tcW w:w="1296" w:type="dxa"/>
            <w:tcBorders>
              <w:top w:val="nil"/>
              <w:left w:val="nil"/>
              <w:bottom w:val="nil"/>
              <w:right w:val="nil"/>
            </w:tcBorders>
          </w:tcPr>
          <w:p w14:paraId="55681919"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p>
        </w:tc>
      </w:tr>
      <w:tr w:rsidR="00375C75" w:rsidRPr="00F26EF7" w14:paraId="73915DC5" w14:textId="77777777" w:rsidTr="008439C0">
        <w:trPr>
          <w:jc w:val="center"/>
        </w:trPr>
        <w:tc>
          <w:tcPr>
            <w:tcW w:w="3819" w:type="dxa"/>
            <w:tcBorders>
              <w:top w:val="nil"/>
              <w:left w:val="nil"/>
              <w:bottom w:val="nil"/>
              <w:right w:val="nil"/>
            </w:tcBorders>
          </w:tcPr>
          <w:p w14:paraId="79B848B8"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2DCAAE62"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(0.15)</w:t>
            </w:r>
          </w:p>
        </w:tc>
        <w:tc>
          <w:tcPr>
            <w:tcW w:w="1296" w:type="dxa"/>
            <w:tcBorders>
              <w:top w:val="nil"/>
              <w:left w:val="nil"/>
              <w:bottom w:val="nil"/>
              <w:right w:val="nil"/>
            </w:tcBorders>
          </w:tcPr>
          <w:p w14:paraId="5390C2E3"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p>
        </w:tc>
      </w:tr>
      <w:tr w:rsidR="00375C75" w:rsidRPr="00F26EF7" w14:paraId="47689C34" w14:textId="77777777" w:rsidTr="008439C0">
        <w:trPr>
          <w:jc w:val="center"/>
        </w:trPr>
        <w:tc>
          <w:tcPr>
            <w:tcW w:w="3819" w:type="dxa"/>
            <w:tcBorders>
              <w:top w:val="nil"/>
              <w:left w:val="nil"/>
              <w:bottom w:val="nil"/>
              <w:right w:val="nil"/>
            </w:tcBorders>
          </w:tcPr>
          <w:p w14:paraId="2AC75092" w14:textId="51BDD334" w:rsidR="00375C75" w:rsidRPr="00F26EF7" w:rsidRDefault="00880B05" w:rsidP="008439C0">
            <w:pPr>
              <w:widowControl w:val="0"/>
              <w:autoSpaceDE w:val="0"/>
              <w:autoSpaceDN w:val="0"/>
              <w:adjustRightInd w:val="0"/>
              <w:spacing w:after="0" w:line="240" w:lineRule="auto"/>
              <w:rPr>
                <w:rFonts w:cs="Times New Roman"/>
                <w:sz w:val="24"/>
                <w:szCs w:val="24"/>
                <w:lang w:val="en-US"/>
              </w:rPr>
            </w:pPr>
            <w:r>
              <w:rPr>
                <w:rFonts w:cs="Times New Roman"/>
                <w:sz w:val="24"/>
                <w:szCs w:val="24"/>
                <w:lang w:val="en-US"/>
              </w:rPr>
              <w:t xml:space="preserve">Banking crisis </w:t>
            </w:r>
            <w:r w:rsidR="000157C7" w:rsidRPr="00F26EF7">
              <w:rPr>
                <w:rFonts w:cs="Times New Roman"/>
                <w:sz w:val="24"/>
                <w:szCs w:val="24"/>
                <w:lang w:val="en-US"/>
              </w:rPr>
              <w:t>(lagged)</w:t>
            </w:r>
          </w:p>
        </w:tc>
        <w:tc>
          <w:tcPr>
            <w:tcW w:w="1296" w:type="dxa"/>
            <w:tcBorders>
              <w:top w:val="nil"/>
              <w:left w:val="nil"/>
              <w:bottom w:val="nil"/>
              <w:right w:val="nil"/>
            </w:tcBorders>
          </w:tcPr>
          <w:p w14:paraId="3B6AAA36"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-0.04</w:t>
            </w:r>
          </w:p>
        </w:tc>
        <w:tc>
          <w:tcPr>
            <w:tcW w:w="1296" w:type="dxa"/>
            <w:tcBorders>
              <w:top w:val="nil"/>
              <w:left w:val="nil"/>
              <w:bottom w:val="nil"/>
              <w:right w:val="nil"/>
            </w:tcBorders>
          </w:tcPr>
          <w:p w14:paraId="0610A3CD"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p>
        </w:tc>
      </w:tr>
      <w:tr w:rsidR="00375C75" w:rsidRPr="00F26EF7" w14:paraId="51A564E0" w14:textId="77777777" w:rsidTr="008439C0">
        <w:trPr>
          <w:jc w:val="center"/>
        </w:trPr>
        <w:tc>
          <w:tcPr>
            <w:tcW w:w="3819" w:type="dxa"/>
            <w:tcBorders>
              <w:top w:val="nil"/>
              <w:left w:val="nil"/>
              <w:bottom w:val="nil"/>
              <w:right w:val="nil"/>
            </w:tcBorders>
          </w:tcPr>
          <w:p w14:paraId="133D6197"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34D5AA82"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(0.19)</w:t>
            </w:r>
          </w:p>
        </w:tc>
        <w:tc>
          <w:tcPr>
            <w:tcW w:w="1296" w:type="dxa"/>
            <w:tcBorders>
              <w:top w:val="nil"/>
              <w:left w:val="nil"/>
              <w:bottom w:val="nil"/>
              <w:right w:val="nil"/>
            </w:tcBorders>
          </w:tcPr>
          <w:p w14:paraId="03FB101A"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p>
        </w:tc>
      </w:tr>
      <w:tr w:rsidR="00375C75" w:rsidRPr="00F26EF7" w14:paraId="23287D72" w14:textId="77777777" w:rsidTr="008439C0">
        <w:trPr>
          <w:jc w:val="center"/>
        </w:trPr>
        <w:tc>
          <w:tcPr>
            <w:tcW w:w="3819" w:type="dxa"/>
            <w:tcBorders>
              <w:top w:val="nil"/>
              <w:left w:val="nil"/>
              <w:bottom w:val="nil"/>
              <w:right w:val="nil"/>
            </w:tcBorders>
          </w:tcPr>
          <w:p w14:paraId="511BBE64" w14:textId="7C50B24B" w:rsidR="00375C75" w:rsidRPr="00F26EF7" w:rsidRDefault="00375C75" w:rsidP="00CC7808">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 xml:space="preserve">Time since </w:t>
            </w:r>
            <w:r w:rsidR="00CC7808" w:rsidRPr="00F26EF7">
              <w:rPr>
                <w:rFonts w:cs="Times New Roman"/>
                <w:sz w:val="24"/>
                <w:szCs w:val="24"/>
                <w:lang w:val="en-US"/>
              </w:rPr>
              <w:t xml:space="preserve">no protest </w:t>
            </w:r>
          </w:p>
        </w:tc>
        <w:tc>
          <w:tcPr>
            <w:tcW w:w="1296" w:type="dxa"/>
            <w:tcBorders>
              <w:top w:val="nil"/>
              <w:left w:val="nil"/>
              <w:bottom w:val="nil"/>
              <w:right w:val="nil"/>
            </w:tcBorders>
          </w:tcPr>
          <w:p w14:paraId="3063D413"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-0.32***</w:t>
            </w:r>
          </w:p>
        </w:tc>
        <w:tc>
          <w:tcPr>
            <w:tcW w:w="1296" w:type="dxa"/>
            <w:tcBorders>
              <w:top w:val="nil"/>
              <w:left w:val="nil"/>
              <w:bottom w:val="nil"/>
              <w:right w:val="nil"/>
            </w:tcBorders>
          </w:tcPr>
          <w:p w14:paraId="00CBBD44"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-0.32***</w:t>
            </w:r>
          </w:p>
        </w:tc>
      </w:tr>
      <w:tr w:rsidR="00375C75" w:rsidRPr="00F26EF7" w14:paraId="614655EA" w14:textId="77777777" w:rsidTr="008439C0">
        <w:trPr>
          <w:jc w:val="center"/>
        </w:trPr>
        <w:tc>
          <w:tcPr>
            <w:tcW w:w="3819" w:type="dxa"/>
            <w:tcBorders>
              <w:top w:val="nil"/>
              <w:left w:val="nil"/>
              <w:bottom w:val="nil"/>
              <w:right w:val="nil"/>
            </w:tcBorders>
          </w:tcPr>
          <w:p w14:paraId="63614A8A"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26758A75"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(0.02)</w:t>
            </w:r>
          </w:p>
        </w:tc>
        <w:tc>
          <w:tcPr>
            <w:tcW w:w="1296" w:type="dxa"/>
            <w:tcBorders>
              <w:top w:val="nil"/>
              <w:left w:val="nil"/>
              <w:bottom w:val="nil"/>
              <w:right w:val="nil"/>
            </w:tcBorders>
          </w:tcPr>
          <w:p w14:paraId="064D5F1B"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(0.02)</w:t>
            </w:r>
          </w:p>
        </w:tc>
      </w:tr>
      <w:tr w:rsidR="00375C75" w:rsidRPr="00F26EF7" w14:paraId="5D9835F9" w14:textId="77777777" w:rsidTr="008439C0">
        <w:trPr>
          <w:jc w:val="center"/>
        </w:trPr>
        <w:tc>
          <w:tcPr>
            <w:tcW w:w="3819" w:type="dxa"/>
            <w:tcBorders>
              <w:top w:val="nil"/>
              <w:left w:val="nil"/>
              <w:bottom w:val="nil"/>
              <w:right w:val="nil"/>
            </w:tcBorders>
          </w:tcPr>
          <w:p w14:paraId="625ADA4E" w14:textId="2316B70E" w:rsidR="00375C75" w:rsidRPr="00F26EF7" w:rsidRDefault="00CC7808"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Time since no protest^2</w:t>
            </w:r>
          </w:p>
        </w:tc>
        <w:tc>
          <w:tcPr>
            <w:tcW w:w="1296" w:type="dxa"/>
            <w:tcBorders>
              <w:top w:val="nil"/>
              <w:left w:val="nil"/>
              <w:bottom w:val="nil"/>
              <w:right w:val="nil"/>
            </w:tcBorders>
          </w:tcPr>
          <w:p w14:paraId="5275DC8B"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c>
          <w:tcPr>
            <w:tcW w:w="1296" w:type="dxa"/>
            <w:tcBorders>
              <w:top w:val="nil"/>
              <w:left w:val="nil"/>
              <w:bottom w:val="nil"/>
              <w:right w:val="nil"/>
            </w:tcBorders>
          </w:tcPr>
          <w:p w14:paraId="0E9AA427"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r>
      <w:tr w:rsidR="00375C75" w:rsidRPr="00F26EF7" w14:paraId="349C3B5E" w14:textId="77777777" w:rsidTr="008439C0">
        <w:trPr>
          <w:jc w:val="center"/>
        </w:trPr>
        <w:tc>
          <w:tcPr>
            <w:tcW w:w="3819" w:type="dxa"/>
            <w:tcBorders>
              <w:top w:val="nil"/>
              <w:left w:val="nil"/>
              <w:bottom w:val="nil"/>
              <w:right w:val="nil"/>
            </w:tcBorders>
          </w:tcPr>
          <w:p w14:paraId="335B6813"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54B479D7"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2AB31E40"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r>
      <w:tr w:rsidR="00375C75" w:rsidRPr="00F26EF7" w14:paraId="7CEA62F2" w14:textId="77777777" w:rsidTr="008439C0">
        <w:trPr>
          <w:jc w:val="center"/>
        </w:trPr>
        <w:tc>
          <w:tcPr>
            <w:tcW w:w="3819" w:type="dxa"/>
            <w:tcBorders>
              <w:top w:val="nil"/>
              <w:left w:val="nil"/>
              <w:bottom w:val="nil"/>
              <w:right w:val="nil"/>
            </w:tcBorders>
          </w:tcPr>
          <w:p w14:paraId="689E4EE0" w14:textId="23C2CF36" w:rsidR="00375C75" w:rsidRPr="00F26EF7" w:rsidRDefault="00CC7808" w:rsidP="00CC7808">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Time since no protest^</w:t>
            </w:r>
            <w:r w:rsidR="00375C75" w:rsidRPr="00F26EF7">
              <w:rPr>
                <w:rFonts w:cs="Times New Roman"/>
                <w:sz w:val="24"/>
                <w:szCs w:val="24"/>
                <w:lang w:val="en-US"/>
              </w:rPr>
              <w:t>3</w:t>
            </w:r>
          </w:p>
        </w:tc>
        <w:tc>
          <w:tcPr>
            <w:tcW w:w="1296" w:type="dxa"/>
            <w:tcBorders>
              <w:top w:val="nil"/>
              <w:left w:val="nil"/>
              <w:bottom w:val="nil"/>
              <w:right w:val="nil"/>
            </w:tcBorders>
          </w:tcPr>
          <w:p w14:paraId="1C44DD64"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18EDFC07"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r>
      <w:tr w:rsidR="00375C75" w:rsidRPr="00F26EF7" w14:paraId="4793D0B1" w14:textId="77777777" w:rsidTr="008439C0">
        <w:trPr>
          <w:jc w:val="center"/>
        </w:trPr>
        <w:tc>
          <w:tcPr>
            <w:tcW w:w="3819" w:type="dxa"/>
            <w:tcBorders>
              <w:top w:val="nil"/>
              <w:left w:val="nil"/>
              <w:bottom w:val="nil"/>
              <w:right w:val="nil"/>
            </w:tcBorders>
          </w:tcPr>
          <w:p w14:paraId="46E2C5EA"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04CF8059"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277B7DBF"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r>
      <w:tr w:rsidR="00375C75" w:rsidRPr="00F26EF7" w14:paraId="555079B4" w14:textId="77777777" w:rsidTr="008439C0">
        <w:trPr>
          <w:jc w:val="center"/>
        </w:trPr>
        <w:tc>
          <w:tcPr>
            <w:tcW w:w="3819" w:type="dxa"/>
            <w:tcBorders>
              <w:top w:val="nil"/>
              <w:left w:val="nil"/>
              <w:bottom w:val="nil"/>
              <w:right w:val="nil"/>
            </w:tcBorders>
          </w:tcPr>
          <w:p w14:paraId="0CB9FB02" w14:textId="3CDE4C85" w:rsidR="00375C75" w:rsidRPr="00F26EF7" w:rsidRDefault="00CC7808"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CPI</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55DF33FF"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6EDAA748"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r>
      <w:tr w:rsidR="00375C75" w:rsidRPr="00F26EF7" w14:paraId="23793E6A" w14:textId="77777777" w:rsidTr="008439C0">
        <w:trPr>
          <w:jc w:val="center"/>
        </w:trPr>
        <w:tc>
          <w:tcPr>
            <w:tcW w:w="3819" w:type="dxa"/>
            <w:tcBorders>
              <w:top w:val="nil"/>
              <w:left w:val="nil"/>
              <w:bottom w:val="nil"/>
              <w:right w:val="nil"/>
            </w:tcBorders>
          </w:tcPr>
          <w:p w14:paraId="0B59D4AC"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10407BA4"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14D3FC0D"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r>
      <w:tr w:rsidR="00375C75" w:rsidRPr="00F26EF7" w14:paraId="39C1F07B" w14:textId="77777777" w:rsidTr="008439C0">
        <w:trPr>
          <w:jc w:val="center"/>
        </w:trPr>
        <w:tc>
          <w:tcPr>
            <w:tcW w:w="3819" w:type="dxa"/>
            <w:tcBorders>
              <w:top w:val="nil"/>
              <w:left w:val="nil"/>
              <w:bottom w:val="nil"/>
              <w:right w:val="nil"/>
            </w:tcBorders>
          </w:tcPr>
          <w:p w14:paraId="7D5C2B1E" w14:textId="6433A863" w:rsidR="00375C75" w:rsidRPr="00F26EF7" w:rsidRDefault="0054252E"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Change in CPI</w:t>
            </w:r>
          </w:p>
        </w:tc>
        <w:tc>
          <w:tcPr>
            <w:tcW w:w="1296" w:type="dxa"/>
            <w:tcBorders>
              <w:top w:val="nil"/>
              <w:left w:val="nil"/>
              <w:bottom w:val="nil"/>
              <w:right w:val="nil"/>
            </w:tcBorders>
          </w:tcPr>
          <w:p w14:paraId="53EF0A18"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-2.41**</w:t>
            </w:r>
          </w:p>
        </w:tc>
        <w:tc>
          <w:tcPr>
            <w:tcW w:w="1296" w:type="dxa"/>
            <w:tcBorders>
              <w:top w:val="nil"/>
              <w:left w:val="nil"/>
              <w:bottom w:val="nil"/>
              <w:right w:val="nil"/>
            </w:tcBorders>
          </w:tcPr>
          <w:p w14:paraId="14631FA6"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-2.61**</w:t>
            </w:r>
          </w:p>
        </w:tc>
      </w:tr>
      <w:tr w:rsidR="00375C75" w:rsidRPr="00F26EF7" w14:paraId="237FAF8C" w14:textId="77777777" w:rsidTr="008439C0">
        <w:trPr>
          <w:jc w:val="center"/>
        </w:trPr>
        <w:tc>
          <w:tcPr>
            <w:tcW w:w="3819" w:type="dxa"/>
            <w:tcBorders>
              <w:top w:val="nil"/>
              <w:left w:val="nil"/>
              <w:bottom w:val="nil"/>
              <w:right w:val="nil"/>
            </w:tcBorders>
          </w:tcPr>
          <w:p w14:paraId="60337BF8"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3227B867"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(1.15)</w:t>
            </w:r>
          </w:p>
        </w:tc>
        <w:tc>
          <w:tcPr>
            <w:tcW w:w="1296" w:type="dxa"/>
            <w:tcBorders>
              <w:top w:val="nil"/>
              <w:left w:val="nil"/>
              <w:bottom w:val="nil"/>
              <w:right w:val="nil"/>
            </w:tcBorders>
          </w:tcPr>
          <w:p w14:paraId="38DA230E"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(1.14)</w:t>
            </w:r>
          </w:p>
        </w:tc>
      </w:tr>
      <w:tr w:rsidR="00375C75" w:rsidRPr="00F26EF7" w14:paraId="562B7CDC" w14:textId="77777777" w:rsidTr="008439C0">
        <w:trPr>
          <w:jc w:val="center"/>
        </w:trPr>
        <w:tc>
          <w:tcPr>
            <w:tcW w:w="3819" w:type="dxa"/>
            <w:tcBorders>
              <w:top w:val="nil"/>
              <w:left w:val="nil"/>
              <w:bottom w:val="nil"/>
              <w:right w:val="nil"/>
            </w:tcBorders>
          </w:tcPr>
          <w:p w14:paraId="747E5111" w14:textId="6EB616B2" w:rsidR="00375C75" w:rsidRPr="00F26EF7" w:rsidRDefault="00633C99"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Any crisis</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2CF8F6C2"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661F346F"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-0.19</w:t>
            </w:r>
          </w:p>
        </w:tc>
      </w:tr>
      <w:tr w:rsidR="00375C75" w:rsidRPr="00F26EF7" w14:paraId="6250ED4F" w14:textId="77777777" w:rsidTr="008439C0">
        <w:trPr>
          <w:jc w:val="center"/>
        </w:trPr>
        <w:tc>
          <w:tcPr>
            <w:tcW w:w="3819" w:type="dxa"/>
            <w:tcBorders>
              <w:top w:val="nil"/>
              <w:left w:val="nil"/>
              <w:bottom w:val="nil"/>
              <w:right w:val="nil"/>
            </w:tcBorders>
          </w:tcPr>
          <w:p w14:paraId="5D61EB65"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10907BFA"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11F0EA15"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(0.12)</w:t>
            </w:r>
          </w:p>
        </w:tc>
      </w:tr>
      <w:tr w:rsidR="00375C75" w:rsidRPr="00F26EF7" w14:paraId="300B7B68" w14:textId="77777777" w:rsidTr="008439C0">
        <w:trPr>
          <w:jc w:val="center"/>
        </w:trPr>
        <w:tc>
          <w:tcPr>
            <w:tcW w:w="3819" w:type="dxa"/>
            <w:tcBorders>
              <w:top w:val="nil"/>
              <w:left w:val="nil"/>
              <w:bottom w:val="nil"/>
              <w:right w:val="nil"/>
            </w:tcBorders>
          </w:tcPr>
          <w:p w14:paraId="55ACED0E"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Constant</w:t>
            </w:r>
          </w:p>
        </w:tc>
        <w:tc>
          <w:tcPr>
            <w:tcW w:w="1296" w:type="dxa"/>
            <w:tcBorders>
              <w:top w:val="nil"/>
              <w:left w:val="nil"/>
              <w:bottom w:val="nil"/>
              <w:right w:val="nil"/>
            </w:tcBorders>
          </w:tcPr>
          <w:p w14:paraId="660F0781"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0.68***</w:t>
            </w:r>
          </w:p>
        </w:tc>
        <w:tc>
          <w:tcPr>
            <w:tcW w:w="1296" w:type="dxa"/>
            <w:tcBorders>
              <w:top w:val="nil"/>
              <w:left w:val="nil"/>
              <w:bottom w:val="nil"/>
              <w:right w:val="nil"/>
            </w:tcBorders>
          </w:tcPr>
          <w:p w14:paraId="699FBC66"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0.68***</w:t>
            </w:r>
          </w:p>
        </w:tc>
      </w:tr>
      <w:tr w:rsidR="00375C75" w:rsidRPr="00F26EF7" w14:paraId="0D547948" w14:textId="77777777" w:rsidTr="008439C0">
        <w:trPr>
          <w:jc w:val="center"/>
        </w:trPr>
        <w:tc>
          <w:tcPr>
            <w:tcW w:w="3819" w:type="dxa"/>
            <w:tcBorders>
              <w:top w:val="nil"/>
              <w:left w:val="nil"/>
              <w:bottom w:val="nil"/>
              <w:right w:val="nil"/>
            </w:tcBorders>
          </w:tcPr>
          <w:p w14:paraId="438A2344"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2577C36B"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(0.13)</w:t>
            </w:r>
          </w:p>
        </w:tc>
        <w:tc>
          <w:tcPr>
            <w:tcW w:w="1296" w:type="dxa"/>
            <w:tcBorders>
              <w:top w:val="nil"/>
              <w:left w:val="nil"/>
              <w:bottom w:val="nil"/>
              <w:right w:val="nil"/>
            </w:tcBorders>
          </w:tcPr>
          <w:p w14:paraId="7E909FEE"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(0.13)</w:t>
            </w:r>
          </w:p>
        </w:tc>
      </w:tr>
      <w:tr w:rsidR="00375C75" w:rsidRPr="00F26EF7" w14:paraId="7803A2AE" w14:textId="77777777" w:rsidTr="008439C0">
        <w:trPr>
          <w:jc w:val="center"/>
        </w:trPr>
        <w:tc>
          <w:tcPr>
            <w:tcW w:w="3819" w:type="dxa"/>
            <w:tcBorders>
              <w:top w:val="nil"/>
              <w:left w:val="nil"/>
              <w:bottom w:val="nil"/>
              <w:right w:val="nil"/>
            </w:tcBorders>
          </w:tcPr>
          <w:p w14:paraId="7CBD7061"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0A8D4668"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68D2BF59"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p>
        </w:tc>
      </w:tr>
      <w:tr w:rsidR="00375C75" w:rsidRPr="00F26EF7" w14:paraId="714AB8E4" w14:textId="77777777" w:rsidTr="008439C0">
        <w:trPr>
          <w:jc w:val="center"/>
        </w:trPr>
        <w:tc>
          <w:tcPr>
            <w:tcW w:w="3819" w:type="dxa"/>
            <w:tcBorders>
              <w:top w:val="nil"/>
              <w:left w:val="nil"/>
              <w:bottom w:val="nil"/>
              <w:right w:val="nil"/>
            </w:tcBorders>
          </w:tcPr>
          <w:p w14:paraId="3E84D5E3" w14:textId="77777777" w:rsidR="00375C75" w:rsidRPr="00F26EF7" w:rsidRDefault="00375C75"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Observations</w:t>
            </w:r>
          </w:p>
        </w:tc>
        <w:tc>
          <w:tcPr>
            <w:tcW w:w="1296" w:type="dxa"/>
            <w:tcBorders>
              <w:top w:val="nil"/>
              <w:left w:val="nil"/>
              <w:bottom w:val="nil"/>
              <w:right w:val="nil"/>
            </w:tcBorders>
          </w:tcPr>
          <w:p w14:paraId="090E35DE"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5,683</w:t>
            </w:r>
          </w:p>
        </w:tc>
        <w:tc>
          <w:tcPr>
            <w:tcW w:w="1296" w:type="dxa"/>
            <w:tcBorders>
              <w:top w:val="nil"/>
              <w:left w:val="nil"/>
              <w:bottom w:val="nil"/>
              <w:right w:val="nil"/>
            </w:tcBorders>
          </w:tcPr>
          <w:p w14:paraId="0135354F"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5,683</w:t>
            </w:r>
          </w:p>
        </w:tc>
      </w:tr>
      <w:tr w:rsidR="00375C75" w:rsidRPr="00F26EF7" w14:paraId="6F51B690" w14:textId="77777777" w:rsidTr="008439C0">
        <w:tblPrEx>
          <w:tblBorders>
            <w:bottom w:val="single" w:sz="6" w:space="0" w:color="auto"/>
          </w:tblBorders>
        </w:tblPrEx>
        <w:trPr>
          <w:jc w:val="center"/>
        </w:trPr>
        <w:tc>
          <w:tcPr>
            <w:tcW w:w="3819" w:type="dxa"/>
            <w:tcBorders>
              <w:top w:val="nil"/>
              <w:left w:val="nil"/>
              <w:bottom w:val="single" w:sz="6" w:space="0" w:color="auto"/>
              <w:right w:val="nil"/>
            </w:tcBorders>
          </w:tcPr>
          <w:p w14:paraId="5AA3EE93" w14:textId="20C25186" w:rsidR="00375C75" w:rsidRPr="00F26EF7" w:rsidRDefault="00146B8F"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Log-likelihood</w:t>
            </w:r>
          </w:p>
        </w:tc>
        <w:tc>
          <w:tcPr>
            <w:tcW w:w="1296" w:type="dxa"/>
            <w:tcBorders>
              <w:top w:val="nil"/>
              <w:left w:val="nil"/>
              <w:bottom w:val="single" w:sz="6" w:space="0" w:color="auto"/>
              <w:right w:val="nil"/>
            </w:tcBorders>
          </w:tcPr>
          <w:p w14:paraId="5E046A6C"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-2637</w:t>
            </w:r>
          </w:p>
        </w:tc>
        <w:tc>
          <w:tcPr>
            <w:tcW w:w="1296" w:type="dxa"/>
            <w:tcBorders>
              <w:top w:val="nil"/>
              <w:left w:val="nil"/>
              <w:bottom w:val="single" w:sz="6" w:space="0" w:color="auto"/>
              <w:right w:val="nil"/>
            </w:tcBorders>
          </w:tcPr>
          <w:p w14:paraId="6A739616" w14:textId="77777777" w:rsidR="00375C75" w:rsidRPr="00F26EF7" w:rsidRDefault="00375C75"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-2638</w:t>
            </w:r>
          </w:p>
        </w:tc>
      </w:tr>
    </w:tbl>
    <w:p w14:paraId="2CD593B9" w14:textId="77777777" w:rsidR="00375C75" w:rsidRPr="00F26EF7" w:rsidRDefault="00375C75" w:rsidP="00375C75">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Standard errors in parentheses</w:t>
      </w:r>
    </w:p>
    <w:p w14:paraId="1890D8C8" w14:textId="77777777" w:rsidR="00375C75" w:rsidRPr="00F26EF7" w:rsidRDefault="00375C75" w:rsidP="00375C75">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 p&lt;0.01, ** p&lt;0.05, * p&lt;0.1</w:t>
      </w:r>
    </w:p>
    <w:p w14:paraId="0BE4DE7C" w14:textId="77777777" w:rsidR="00375C75" w:rsidRPr="00F26EF7" w:rsidRDefault="00375C75" w:rsidP="00375C75">
      <w:pPr>
        <w:rPr>
          <w:sz w:val="24"/>
          <w:szCs w:val="24"/>
          <w:lang w:val="en-US"/>
        </w:rPr>
      </w:pPr>
    </w:p>
    <w:p w14:paraId="153FBC04" w14:textId="336FF10D" w:rsidR="008120E7" w:rsidRPr="00F26EF7" w:rsidRDefault="00D4646A">
      <w:pPr>
        <w:rPr>
          <w:sz w:val="24"/>
          <w:szCs w:val="24"/>
          <w:lang w:val="en-US"/>
        </w:rPr>
      </w:pPr>
      <w:r w:rsidRPr="00F26EF7">
        <w:rPr>
          <w:sz w:val="24"/>
          <w:szCs w:val="24"/>
          <w:lang w:val="en-US"/>
        </w:rPr>
        <w:t xml:space="preserve">In Table 4 we </w:t>
      </w:r>
      <w:r w:rsidR="00AA6F89" w:rsidRPr="00F26EF7">
        <w:rPr>
          <w:sz w:val="24"/>
          <w:szCs w:val="24"/>
          <w:lang w:val="en-US"/>
        </w:rPr>
        <w:t xml:space="preserve">replace the protest response with violent conflict and estimate a comparable model of onset with the same covariates. </w:t>
      </w:r>
      <w:r w:rsidR="0097381C">
        <w:rPr>
          <w:sz w:val="24"/>
          <w:szCs w:val="24"/>
          <w:lang w:val="en-US"/>
        </w:rPr>
        <w:t xml:space="preserve">A </w:t>
      </w:r>
      <w:r w:rsidR="00713CBC" w:rsidRPr="00F26EF7">
        <w:rPr>
          <w:sz w:val="24"/>
          <w:szCs w:val="24"/>
          <w:lang w:val="en-US"/>
        </w:rPr>
        <w:t>first</w:t>
      </w:r>
      <w:r w:rsidR="00CE552A" w:rsidRPr="00F26EF7">
        <w:rPr>
          <w:sz w:val="24"/>
          <w:szCs w:val="24"/>
          <w:lang w:val="en-US"/>
        </w:rPr>
        <w:t xml:space="preserve"> </w:t>
      </w:r>
      <w:r w:rsidR="0097381C">
        <w:rPr>
          <w:sz w:val="24"/>
          <w:szCs w:val="24"/>
          <w:lang w:val="en-US"/>
        </w:rPr>
        <w:t xml:space="preserve">result to </w:t>
      </w:r>
      <w:r w:rsidR="00713CBC" w:rsidRPr="00F26EF7">
        <w:rPr>
          <w:sz w:val="24"/>
          <w:szCs w:val="24"/>
          <w:lang w:val="en-US"/>
        </w:rPr>
        <w:t xml:space="preserve">note is that we find </w:t>
      </w:r>
      <w:r w:rsidR="008A3C89" w:rsidRPr="00F26EF7">
        <w:rPr>
          <w:sz w:val="24"/>
          <w:szCs w:val="24"/>
          <w:lang w:val="en-US"/>
        </w:rPr>
        <w:t xml:space="preserve">no </w:t>
      </w:r>
      <w:r w:rsidR="00713CBC" w:rsidRPr="00F26EF7">
        <w:rPr>
          <w:sz w:val="24"/>
          <w:szCs w:val="24"/>
          <w:lang w:val="en-US"/>
        </w:rPr>
        <w:t xml:space="preserve">evidence that economic crises have a positive effect on </w:t>
      </w:r>
      <w:r w:rsidR="008120E7" w:rsidRPr="00F26EF7">
        <w:rPr>
          <w:sz w:val="24"/>
          <w:szCs w:val="24"/>
          <w:lang w:val="en-US"/>
        </w:rPr>
        <w:t>the onset of violence</w:t>
      </w:r>
      <w:r w:rsidR="0097381C">
        <w:rPr>
          <w:sz w:val="24"/>
          <w:szCs w:val="24"/>
          <w:lang w:val="en-US"/>
        </w:rPr>
        <w:t>,</w:t>
      </w:r>
      <w:r w:rsidR="008120E7" w:rsidRPr="00F26EF7">
        <w:rPr>
          <w:sz w:val="24"/>
          <w:szCs w:val="24"/>
          <w:lang w:val="en-US"/>
        </w:rPr>
        <w:t xml:space="preserve"> </w:t>
      </w:r>
      <w:r w:rsidR="0097381C">
        <w:rPr>
          <w:sz w:val="24"/>
          <w:szCs w:val="24"/>
          <w:lang w:val="en-US"/>
        </w:rPr>
        <w:t xml:space="preserve">unlike what we found for </w:t>
      </w:r>
      <w:r w:rsidR="005D3E4B" w:rsidRPr="00F26EF7">
        <w:rPr>
          <w:sz w:val="24"/>
          <w:szCs w:val="24"/>
          <w:lang w:val="en-US"/>
        </w:rPr>
        <w:t>nonviol</w:t>
      </w:r>
      <w:r w:rsidR="008120E7" w:rsidRPr="00F26EF7">
        <w:rPr>
          <w:sz w:val="24"/>
          <w:szCs w:val="24"/>
          <w:lang w:val="en-US"/>
        </w:rPr>
        <w:t xml:space="preserve">ent protest. This is </w:t>
      </w:r>
      <w:r w:rsidR="0097381C">
        <w:rPr>
          <w:sz w:val="24"/>
          <w:szCs w:val="24"/>
          <w:lang w:val="en-US"/>
        </w:rPr>
        <w:t xml:space="preserve">in line </w:t>
      </w:r>
      <w:r w:rsidR="008120E7" w:rsidRPr="00F26EF7">
        <w:rPr>
          <w:sz w:val="24"/>
          <w:szCs w:val="24"/>
          <w:lang w:val="en-US"/>
        </w:rPr>
        <w:t xml:space="preserve">with our claim that economic factors are more likely to increase </w:t>
      </w:r>
      <w:r w:rsidR="005D3E4B" w:rsidRPr="00F26EF7">
        <w:rPr>
          <w:sz w:val="24"/>
          <w:szCs w:val="24"/>
          <w:lang w:val="en-US"/>
        </w:rPr>
        <w:t>nonviol</w:t>
      </w:r>
      <w:r w:rsidR="008120E7" w:rsidRPr="00F26EF7">
        <w:rPr>
          <w:sz w:val="24"/>
          <w:szCs w:val="24"/>
          <w:lang w:val="en-US"/>
        </w:rPr>
        <w:t xml:space="preserve">ent </w:t>
      </w:r>
      <w:r w:rsidR="00DB0294" w:rsidRPr="00F26EF7">
        <w:rPr>
          <w:sz w:val="24"/>
          <w:szCs w:val="24"/>
          <w:lang w:val="en-US"/>
        </w:rPr>
        <w:t xml:space="preserve">rather </w:t>
      </w:r>
      <w:r w:rsidR="008120E7" w:rsidRPr="00F26EF7">
        <w:rPr>
          <w:sz w:val="24"/>
          <w:szCs w:val="24"/>
          <w:lang w:val="en-US"/>
        </w:rPr>
        <w:t xml:space="preserve">than violent protest, as well as the notion that political violence is more likely to </w:t>
      </w:r>
      <w:r w:rsidR="00DB0294" w:rsidRPr="00F26EF7">
        <w:rPr>
          <w:sz w:val="24"/>
          <w:szCs w:val="24"/>
          <w:lang w:val="en-US"/>
        </w:rPr>
        <w:t xml:space="preserve">be </w:t>
      </w:r>
      <w:r w:rsidR="008120E7" w:rsidRPr="00F26EF7">
        <w:rPr>
          <w:sz w:val="24"/>
          <w:szCs w:val="24"/>
          <w:lang w:val="en-US"/>
        </w:rPr>
        <w:t>related to political exclusion</w:t>
      </w:r>
      <w:r w:rsidR="007501E0" w:rsidRPr="00F26EF7">
        <w:rPr>
          <w:sz w:val="24"/>
          <w:szCs w:val="24"/>
          <w:lang w:val="en-US"/>
        </w:rPr>
        <w:t xml:space="preserve"> rather</w:t>
      </w:r>
      <w:r w:rsidR="008120E7" w:rsidRPr="00F26EF7">
        <w:rPr>
          <w:sz w:val="24"/>
          <w:szCs w:val="24"/>
          <w:lang w:val="en-US"/>
        </w:rPr>
        <w:t xml:space="preserve"> than short term economic changes. However, we still </w:t>
      </w:r>
      <w:r w:rsidRPr="00F26EF7">
        <w:rPr>
          <w:sz w:val="24"/>
          <w:szCs w:val="24"/>
          <w:lang w:val="en-US"/>
        </w:rPr>
        <w:t xml:space="preserve">find a positive impact of IMF programs on initial onsets in Table 4, </w:t>
      </w:r>
      <w:r w:rsidR="008120E7" w:rsidRPr="00F26EF7">
        <w:rPr>
          <w:sz w:val="24"/>
          <w:szCs w:val="24"/>
          <w:lang w:val="en-US"/>
        </w:rPr>
        <w:t xml:space="preserve">consistent with previous </w:t>
      </w:r>
      <w:r w:rsidR="00BC7FAB">
        <w:rPr>
          <w:sz w:val="24"/>
          <w:szCs w:val="24"/>
          <w:lang w:val="en-US"/>
        </w:rPr>
        <w:t xml:space="preserve">studies </w:t>
      </w:r>
      <w:r w:rsidR="008120E7" w:rsidRPr="00F26EF7">
        <w:rPr>
          <w:sz w:val="24"/>
          <w:szCs w:val="24"/>
          <w:lang w:val="en-US"/>
        </w:rPr>
        <w:t xml:space="preserve">such as Hoddie et al. (2010). </w:t>
      </w:r>
    </w:p>
    <w:p w14:paraId="5C3D0776" w14:textId="77777777" w:rsidR="008A3C89" w:rsidRPr="00F26EF7" w:rsidRDefault="008A3C89">
      <w:pPr>
        <w:rPr>
          <w:sz w:val="24"/>
          <w:szCs w:val="24"/>
          <w:lang w:val="en-US"/>
        </w:rPr>
      </w:pPr>
    </w:p>
    <w:p w14:paraId="486BFD9C" w14:textId="4B353629" w:rsidR="00F405BC" w:rsidRPr="00F26EF7" w:rsidRDefault="00D4646A" w:rsidP="00856037">
      <w:pPr>
        <w:outlineLvl w:val="0"/>
        <w:rPr>
          <w:sz w:val="24"/>
          <w:szCs w:val="24"/>
          <w:lang w:val="en-US"/>
        </w:rPr>
      </w:pPr>
      <w:r w:rsidRPr="00F26EF7">
        <w:rPr>
          <w:sz w:val="24"/>
          <w:szCs w:val="24"/>
          <w:lang w:val="en-US"/>
        </w:rPr>
        <w:lastRenderedPageBreak/>
        <w:t>Table 4: Transitions to</w:t>
      </w:r>
      <w:r w:rsidR="00A61493" w:rsidRPr="00F26EF7">
        <w:rPr>
          <w:sz w:val="24"/>
          <w:szCs w:val="24"/>
          <w:lang w:val="en-US"/>
        </w:rPr>
        <w:t>/f</w:t>
      </w:r>
      <w:r w:rsidR="00E20861" w:rsidRPr="00F26EF7">
        <w:rPr>
          <w:sz w:val="24"/>
          <w:szCs w:val="24"/>
          <w:lang w:val="en-US"/>
        </w:rPr>
        <w:t>r</w:t>
      </w:r>
      <w:r w:rsidR="00A61493" w:rsidRPr="00F26EF7">
        <w:rPr>
          <w:sz w:val="24"/>
          <w:szCs w:val="24"/>
          <w:lang w:val="en-US"/>
        </w:rPr>
        <w:t>om</w:t>
      </w:r>
      <w:r w:rsidRPr="00F26EF7">
        <w:rPr>
          <w:sz w:val="24"/>
          <w:szCs w:val="24"/>
          <w:lang w:val="en-US"/>
        </w:rPr>
        <w:t xml:space="preserve"> violent events</w:t>
      </w:r>
    </w:p>
    <w:tbl>
      <w:tblPr>
        <w:tblW w:w="0" w:type="auto"/>
        <w:jc w:val="center"/>
        <w:tblLayout w:type="fixed"/>
        <w:tblCellMar>
          <w:left w:w="75" w:type="dxa"/>
          <w:right w:w="75" w:type="dxa"/>
        </w:tblCellMar>
        <w:tblLook w:val="0000" w:firstRow="0" w:lastRow="0" w:firstColumn="0" w:lastColumn="0" w:noHBand="0" w:noVBand="0"/>
      </w:tblPr>
      <w:tblGrid>
        <w:gridCol w:w="3819"/>
        <w:gridCol w:w="1296"/>
        <w:gridCol w:w="1296"/>
        <w:gridCol w:w="1296"/>
        <w:gridCol w:w="1296"/>
      </w:tblGrid>
      <w:tr w:rsidR="008A3C89" w:rsidRPr="00F26EF7" w14:paraId="2F162D1D" w14:textId="77777777" w:rsidTr="008439C0">
        <w:trPr>
          <w:jc w:val="center"/>
        </w:trPr>
        <w:tc>
          <w:tcPr>
            <w:tcW w:w="3819" w:type="dxa"/>
            <w:tcBorders>
              <w:top w:val="single" w:sz="6" w:space="0" w:color="auto"/>
              <w:left w:val="nil"/>
              <w:bottom w:val="nil"/>
              <w:right w:val="nil"/>
            </w:tcBorders>
          </w:tcPr>
          <w:p w14:paraId="2C54301B"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single" w:sz="6" w:space="0" w:color="auto"/>
              <w:left w:val="nil"/>
              <w:bottom w:val="nil"/>
              <w:right w:val="nil"/>
            </w:tcBorders>
          </w:tcPr>
          <w:p w14:paraId="34C6476A"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(1)</w:t>
            </w:r>
          </w:p>
        </w:tc>
        <w:tc>
          <w:tcPr>
            <w:tcW w:w="1296" w:type="dxa"/>
            <w:tcBorders>
              <w:top w:val="single" w:sz="6" w:space="0" w:color="auto"/>
              <w:left w:val="nil"/>
              <w:bottom w:val="nil"/>
              <w:right w:val="nil"/>
            </w:tcBorders>
          </w:tcPr>
          <w:p w14:paraId="35AE6B8D"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(2)</w:t>
            </w:r>
          </w:p>
        </w:tc>
        <w:tc>
          <w:tcPr>
            <w:tcW w:w="1296" w:type="dxa"/>
            <w:tcBorders>
              <w:top w:val="single" w:sz="6" w:space="0" w:color="auto"/>
              <w:left w:val="nil"/>
              <w:bottom w:val="nil"/>
              <w:right w:val="nil"/>
            </w:tcBorders>
          </w:tcPr>
          <w:p w14:paraId="7F60C2FB"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(3)</w:t>
            </w:r>
          </w:p>
        </w:tc>
        <w:tc>
          <w:tcPr>
            <w:tcW w:w="1296" w:type="dxa"/>
            <w:tcBorders>
              <w:top w:val="single" w:sz="6" w:space="0" w:color="auto"/>
              <w:left w:val="nil"/>
              <w:bottom w:val="nil"/>
              <w:right w:val="nil"/>
            </w:tcBorders>
          </w:tcPr>
          <w:p w14:paraId="3E251151"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(4)</w:t>
            </w:r>
          </w:p>
        </w:tc>
      </w:tr>
      <w:tr w:rsidR="008A3C89" w:rsidRPr="00F26EF7" w14:paraId="19D23808" w14:textId="77777777" w:rsidTr="008439C0">
        <w:trPr>
          <w:jc w:val="center"/>
        </w:trPr>
        <w:tc>
          <w:tcPr>
            <w:tcW w:w="3819" w:type="dxa"/>
            <w:tcBorders>
              <w:top w:val="nil"/>
              <w:left w:val="nil"/>
              <w:bottom w:val="single" w:sz="6" w:space="0" w:color="auto"/>
              <w:right w:val="nil"/>
            </w:tcBorders>
          </w:tcPr>
          <w:p w14:paraId="00CD7F77"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VARIABLES</w:t>
            </w:r>
          </w:p>
        </w:tc>
        <w:tc>
          <w:tcPr>
            <w:tcW w:w="1296" w:type="dxa"/>
            <w:tcBorders>
              <w:top w:val="nil"/>
              <w:left w:val="nil"/>
              <w:bottom w:val="single" w:sz="6" w:space="0" w:color="auto"/>
              <w:right w:val="nil"/>
            </w:tcBorders>
          </w:tcPr>
          <w:p w14:paraId="669FA81C"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Model 1</w:t>
            </w:r>
          </w:p>
        </w:tc>
        <w:tc>
          <w:tcPr>
            <w:tcW w:w="1296" w:type="dxa"/>
            <w:tcBorders>
              <w:top w:val="nil"/>
              <w:left w:val="nil"/>
              <w:bottom w:val="single" w:sz="6" w:space="0" w:color="auto"/>
              <w:right w:val="nil"/>
            </w:tcBorders>
          </w:tcPr>
          <w:p w14:paraId="160116A3"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Model 2</w:t>
            </w:r>
          </w:p>
        </w:tc>
        <w:tc>
          <w:tcPr>
            <w:tcW w:w="1296" w:type="dxa"/>
            <w:tcBorders>
              <w:top w:val="nil"/>
              <w:left w:val="nil"/>
              <w:bottom w:val="single" w:sz="6" w:space="0" w:color="auto"/>
              <w:right w:val="nil"/>
            </w:tcBorders>
          </w:tcPr>
          <w:p w14:paraId="42CE2FB3"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Model 3</w:t>
            </w:r>
          </w:p>
        </w:tc>
        <w:tc>
          <w:tcPr>
            <w:tcW w:w="1296" w:type="dxa"/>
            <w:tcBorders>
              <w:top w:val="nil"/>
              <w:left w:val="nil"/>
              <w:bottom w:val="single" w:sz="6" w:space="0" w:color="auto"/>
              <w:right w:val="nil"/>
            </w:tcBorders>
          </w:tcPr>
          <w:p w14:paraId="7B08C09D"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Model 4</w:t>
            </w:r>
          </w:p>
        </w:tc>
      </w:tr>
      <w:tr w:rsidR="008A3C89" w:rsidRPr="00F26EF7" w14:paraId="107A2DDA" w14:textId="77777777" w:rsidTr="008439C0">
        <w:trPr>
          <w:jc w:val="center"/>
        </w:trPr>
        <w:tc>
          <w:tcPr>
            <w:tcW w:w="3819" w:type="dxa"/>
            <w:tcBorders>
              <w:top w:val="nil"/>
              <w:left w:val="nil"/>
              <w:bottom w:val="nil"/>
              <w:right w:val="nil"/>
            </w:tcBorders>
          </w:tcPr>
          <w:p w14:paraId="30BC3B16"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40338CF7"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14B3AEA2"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4C3F3A98"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30B7A679"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r>
      <w:tr w:rsidR="008A3C89" w:rsidRPr="00F26EF7" w14:paraId="23C06D73" w14:textId="77777777" w:rsidTr="008439C0">
        <w:trPr>
          <w:jc w:val="center"/>
        </w:trPr>
        <w:tc>
          <w:tcPr>
            <w:tcW w:w="3819" w:type="dxa"/>
            <w:tcBorders>
              <w:top w:val="nil"/>
              <w:left w:val="nil"/>
              <w:bottom w:val="nil"/>
              <w:right w:val="nil"/>
            </w:tcBorders>
          </w:tcPr>
          <w:p w14:paraId="3A3DB905" w14:textId="1D97A363" w:rsidR="008A3C89" w:rsidRPr="00F26EF7" w:rsidRDefault="00F85B95"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IMF program</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6CEFD0D3"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0.66***</w:t>
            </w:r>
          </w:p>
        </w:tc>
        <w:tc>
          <w:tcPr>
            <w:tcW w:w="1296" w:type="dxa"/>
            <w:tcBorders>
              <w:top w:val="nil"/>
              <w:left w:val="nil"/>
              <w:bottom w:val="nil"/>
              <w:right w:val="nil"/>
            </w:tcBorders>
          </w:tcPr>
          <w:p w14:paraId="472B30F4"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0.66***</w:t>
            </w:r>
          </w:p>
        </w:tc>
        <w:tc>
          <w:tcPr>
            <w:tcW w:w="1296" w:type="dxa"/>
            <w:tcBorders>
              <w:top w:val="nil"/>
              <w:left w:val="nil"/>
              <w:bottom w:val="nil"/>
              <w:right w:val="nil"/>
            </w:tcBorders>
          </w:tcPr>
          <w:p w14:paraId="5F01D5AF"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-0.04</w:t>
            </w:r>
          </w:p>
        </w:tc>
        <w:tc>
          <w:tcPr>
            <w:tcW w:w="1296" w:type="dxa"/>
            <w:tcBorders>
              <w:top w:val="nil"/>
              <w:left w:val="nil"/>
              <w:bottom w:val="nil"/>
              <w:right w:val="nil"/>
            </w:tcBorders>
          </w:tcPr>
          <w:p w14:paraId="646F7AA1"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-0.03</w:t>
            </w:r>
          </w:p>
        </w:tc>
      </w:tr>
      <w:tr w:rsidR="008A3C89" w:rsidRPr="00F26EF7" w14:paraId="011680B9" w14:textId="77777777" w:rsidTr="008439C0">
        <w:trPr>
          <w:jc w:val="center"/>
        </w:trPr>
        <w:tc>
          <w:tcPr>
            <w:tcW w:w="3819" w:type="dxa"/>
            <w:tcBorders>
              <w:top w:val="nil"/>
              <w:left w:val="nil"/>
              <w:bottom w:val="nil"/>
              <w:right w:val="nil"/>
            </w:tcBorders>
          </w:tcPr>
          <w:p w14:paraId="28338B07"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5C695280"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(0.16)</w:t>
            </w:r>
          </w:p>
        </w:tc>
        <w:tc>
          <w:tcPr>
            <w:tcW w:w="1296" w:type="dxa"/>
            <w:tcBorders>
              <w:top w:val="nil"/>
              <w:left w:val="nil"/>
              <w:bottom w:val="nil"/>
              <w:right w:val="nil"/>
            </w:tcBorders>
          </w:tcPr>
          <w:p w14:paraId="4F8ED2DD"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(0.16)</w:t>
            </w:r>
          </w:p>
        </w:tc>
        <w:tc>
          <w:tcPr>
            <w:tcW w:w="1296" w:type="dxa"/>
            <w:tcBorders>
              <w:top w:val="nil"/>
              <w:left w:val="nil"/>
              <w:bottom w:val="nil"/>
              <w:right w:val="nil"/>
            </w:tcBorders>
          </w:tcPr>
          <w:p w14:paraId="353C445F"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(0.18)</w:t>
            </w:r>
          </w:p>
        </w:tc>
        <w:tc>
          <w:tcPr>
            <w:tcW w:w="1296" w:type="dxa"/>
            <w:tcBorders>
              <w:top w:val="nil"/>
              <w:left w:val="nil"/>
              <w:bottom w:val="nil"/>
              <w:right w:val="nil"/>
            </w:tcBorders>
          </w:tcPr>
          <w:p w14:paraId="6417D36A"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(0.18)</w:t>
            </w:r>
          </w:p>
        </w:tc>
      </w:tr>
      <w:tr w:rsidR="008A3C89" w:rsidRPr="00F26EF7" w14:paraId="5FA38144" w14:textId="77777777" w:rsidTr="008439C0">
        <w:trPr>
          <w:jc w:val="center"/>
        </w:trPr>
        <w:tc>
          <w:tcPr>
            <w:tcW w:w="3819" w:type="dxa"/>
            <w:tcBorders>
              <w:top w:val="nil"/>
              <w:left w:val="nil"/>
              <w:bottom w:val="nil"/>
              <w:right w:val="nil"/>
            </w:tcBorders>
          </w:tcPr>
          <w:p w14:paraId="5754EC4F" w14:textId="5B38AE6A" w:rsidR="008A3C89" w:rsidRPr="00F26EF7" w:rsidRDefault="00F85B95"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Sovereign debt crisis</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6FFA67E4"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0.35</w:t>
            </w:r>
          </w:p>
        </w:tc>
        <w:tc>
          <w:tcPr>
            <w:tcW w:w="1296" w:type="dxa"/>
            <w:tcBorders>
              <w:top w:val="nil"/>
              <w:left w:val="nil"/>
              <w:bottom w:val="nil"/>
              <w:right w:val="nil"/>
            </w:tcBorders>
          </w:tcPr>
          <w:p w14:paraId="74708F49"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1D35CE4B"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0.29</w:t>
            </w:r>
          </w:p>
        </w:tc>
        <w:tc>
          <w:tcPr>
            <w:tcW w:w="1296" w:type="dxa"/>
            <w:tcBorders>
              <w:top w:val="nil"/>
              <w:left w:val="nil"/>
              <w:bottom w:val="nil"/>
              <w:right w:val="nil"/>
            </w:tcBorders>
          </w:tcPr>
          <w:p w14:paraId="3437E6F1"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r>
      <w:tr w:rsidR="008A3C89" w:rsidRPr="00F26EF7" w14:paraId="58F17068" w14:textId="77777777" w:rsidTr="008439C0">
        <w:trPr>
          <w:jc w:val="center"/>
        </w:trPr>
        <w:tc>
          <w:tcPr>
            <w:tcW w:w="3819" w:type="dxa"/>
            <w:tcBorders>
              <w:top w:val="nil"/>
              <w:left w:val="nil"/>
              <w:bottom w:val="nil"/>
              <w:right w:val="nil"/>
            </w:tcBorders>
          </w:tcPr>
          <w:p w14:paraId="1EA3061E"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6F2E5C67"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(0.74)</w:t>
            </w:r>
          </w:p>
        </w:tc>
        <w:tc>
          <w:tcPr>
            <w:tcW w:w="1296" w:type="dxa"/>
            <w:tcBorders>
              <w:top w:val="nil"/>
              <w:left w:val="nil"/>
              <w:bottom w:val="nil"/>
              <w:right w:val="nil"/>
            </w:tcBorders>
          </w:tcPr>
          <w:p w14:paraId="609BBB66"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51712C1E"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(1.12)</w:t>
            </w:r>
          </w:p>
        </w:tc>
        <w:tc>
          <w:tcPr>
            <w:tcW w:w="1296" w:type="dxa"/>
            <w:tcBorders>
              <w:top w:val="nil"/>
              <w:left w:val="nil"/>
              <w:bottom w:val="nil"/>
              <w:right w:val="nil"/>
            </w:tcBorders>
          </w:tcPr>
          <w:p w14:paraId="7DB66299"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r>
      <w:tr w:rsidR="008A3C89" w:rsidRPr="00F26EF7" w14:paraId="1845AD98" w14:textId="77777777" w:rsidTr="008439C0">
        <w:trPr>
          <w:jc w:val="center"/>
        </w:trPr>
        <w:tc>
          <w:tcPr>
            <w:tcW w:w="3819" w:type="dxa"/>
            <w:tcBorders>
              <w:top w:val="nil"/>
              <w:left w:val="nil"/>
              <w:bottom w:val="nil"/>
              <w:right w:val="nil"/>
            </w:tcBorders>
          </w:tcPr>
          <w:p w14:paraId="4172241E" w14:textId="039124B0" w:rsidR="008A3C89" w:rsidRPr="00F26EF7" w:rsidRDefault="00F85B95"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Currency crisis</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52E060AC"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-0.28</w:t>
            </w:r>
          </w:p>
        </w:tc>
        <w:tc>
          <w:tcPr>
            <w:tcW w:w="1296" w:type="dxa"/>
            <w:tcBorders>
              <w:top w:val="nil"/>
              <w:left w:val="nil"/>
              <w:bottom w:val="nil"/>
              <w:right w:val="nil"/>
            </w:tcBorders>
          </w:tcPr>
          <w:p w14:paraId="04E99528"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100BDDE0"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0.90***</w:t>
            </w:r>
          </w:p>
        </w:tc>
        <w:tc>
          <w:tcPr>
            <w:tcW w:w="1296" w:type="dxa"/>
            <w:tcBorders>
              <w:top w:val="nil"/>
              <w:left w:val="nil"/>
              <w:bottom w:val="nil"/>
              <w:right w:val="nil"/>
            </w:tcBorders>
          </w:tcPr>
          <w:p w14:paraId="324B92A6"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r>
      <w:tr w:rsidR="008A3C89" w:rsidRPr="00F26EF7" w14:paraId="65D4515E" w14:textId="77777777" w:rsidTr="008439C0">
        <w:trPr>
          <w:jc w:val="center"/>
        </w:trPr>
        <w:tc>
          <w:tcPr>
            <w:tcW w:w="3819" w:type="dxa"/>
            <w:tcBorders>
              <w:top w:val="nil"/>
              <w:left w:val="nil"/>
              <w:bottom w:val="nil"/>
              <w:right w:val="nil"/>
            </w:tcBorders>
          </w:tcPr>
          <w:p w14:paraId="4421580A"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4E3B5DD6"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(0.33)</w:t>
            </w:r>
          </w:p>
        </w:tc>
        <w:tc>
          <w:tcPr>
            <w:tcW w:w="1296" w:type="dxa"/>
            <w:tcBorders>
              <w:top w:val="nil"/>
              <w:left w:val="nil"/>
              <w:bottom w:val="nil"/>
              <w:right w:val="nil"/>
            </w:tcBorders>
          </w:tcPr>
          <w:p w14:paraId="568BAB4A"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473719D6"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(0.34)</w:t>
            </w:r>
          </w:p>
        </w:tc>
        <w:tc>
          <w:tcPr>
            <w:tcW w:w="1296" w:type="dxa"/>
            <w:tcBorders>
              <w:top w:val="nil"/>
              <w:left w:val="nil"/>
              <w:bottom w:val="nil"/>
              <w:right w:val="nil"/>
            </w:tcBorders>
          </w:tcPr>
          <w:p w14:paraId="27E70C6C"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r>
      <w:tr w:rsidR="008A3C89" w:rsidRPr="00F26EF7" w14:paraId="643DEE7A" w14:textId="77777777" w:rsidTr="008439C0">
        <w:trPr>
          <w:jc w:val="center"/>
        </w:trPr>
        <w:tc>
          <w:tcPr>
            <w:tcW w:w="3819" w:type="dxa"/>
            <w:tcBorders>
              <w:top w:val="nil"/>
              <w:left w:val="nil"/>
              <w:bottom w:val="nil"/>
              <w:right w:val="nil"/>
            </w:tcBorders>
          </w:tcPr>
          <w:p w14:paraId="1D425D97" w14:textId="1539C43A" w:rsidR="008A3C89" w:rsidRPr="00F26EF7" w:rsidRDefault="00647C50"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Banking crisis</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160D268D"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-0.35</w:t>
            </w:r>
          </w:p>
        </w:tc>
        <w:tc>
          <w:tcPr>
            <w:tcW w:w="1296" w:type="dxa"/>
            <w:tcBorders>
              <w:top w:val="nil"/>
              <w:left w:val="nil"/>
              <w:bottom w:val="nil"/>
              <w:right w:val="nil"/>
            </w:tcBorders>
          </w:tcPr>
          <w:p w14:paraId="118CA7A6"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5C08362A"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0.02</w:t>
            </w:r>
          </w:p>
        </w:tc>
        <w:tc>
          <w:tcPr>
            <w:tcW w:w="1296" w:type="dxa"/>
            <w:tcBorders>
              <w:top w:val="nil"/>
              <w:left w:val="nil"/>
              <w:bottom w:val="nil"/>
              <w:right w:val="nil"/>
            </w:tcBorders>
          </w:tcPr>
          <w:p w14:paraId="4212BF33"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r>
      <w:tr w:rsidR="008A3C89" w:rsidRPr="00F26EF7" w14:paraId="5DFFC574" w14:textId="77777777" w:rsidTr="008439C0">
        <w:trPr>
          <w:jc w:val="center"/>
        </w:trPr>
        <w:tc>
          <w:tcPr>
            <w:tcW w:w="3819" w:type="dxa"/>
            <w:tcBorders>
              <w:top w:val="nil"/>
              <w:left w:val="nil"/>
              <w:bottom w:val="nil"/>
              <w:right w:val="nil"/>
            </w:tcBorders>
          </w:tcPr>
          <w:p w14:paraId="36F2AE30"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1711488C"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(0.60)</w:t>
            </w:r>
          </w:p>
        </w:tc>
        <w:tc>
          <w:tcPr>
            <w:tcW w:w="1296" w:type="dxa"/>
            <w:tcBorders>
              <w:top w:val="nil"/>
              <w:left w:val="nil"/>
              <w:bottom w:val="nil"/>
              <w:right w:val="nil"/>
            </w:tcBorders>
          </w:tcPr>
          <w:p w14:paraId="0D18E5EC"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0F395804"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(0.68)</w:t>
            </w:r>
          </w:p>
        </w:tc>
        <w:tc>
          <w:tcPr>
            <w:tcW w:w="1296" w:type="dxa"/>
            <w:tcBorders>
              <w:top w:val="nil"/>
              <w:left w:val="nil"/>
              <w:bottom w:val="nil"/>
              <w:right w:val="nil"/>
            </w:tcBorders>
          </w:tcPr>
          <w:p w14:paraId="25F25DA8"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r>
      <w:tr w:rsidR="008A3C89" w:rsidRPr="00F26EF7" w14:paraId="114A2F8E" w14:textId="77777777" w:rsidTr="008439C0">
        <w:trPr>
          <w:jc w:val="center"/>
        </w:trPr>
        <w:tc>
          <w:tcPr>
            <w:tcW w:w="3819" w:type="dxa"/>
            <w:tcBorders>
              <w:top w:val="nil"/>
              <w:left w:val="nil"/>
              <w:bottom w:val="nil"/>
              <w:right w:val="nil"/>
            </w:tcBorders>
          </w:tcPr>
          <w:p w14:paraId="3846E1A9" w14:textId="571694A8" w:rsidR="008A3C89" w:rsidRPr="00F26EF7" w:rsidRDefault="008A3C89" w:rsidP="00647C5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 xml:space="preserve">Time since </w:t>
            </w:r>
            <w:r w:rsidR="00647C50" w:rsidRPr="00F26EF7">
              <w:rPr>
                <w:rFonts w:cs="Times New Roman"/>
                <w:sz w:val="24"/>
                <w:szCs w:val="24"/>
                <w:lang w:val="en-US"/>
              </w:rPr>
              <w:t>violence</w:t>
            </w:r>
          </w:p>
        </w:tc>
        <w:tc>
          <w:tcPr>
            <w:tcW w:w="1296" w:type="dxa"/>
            <w:tcBorders>
              <w:top w:val="nil"/>
              <w:left w:val="nil"/>
              <w:bottom w:val="nil"/>
              <w:right w:val="nil"/>
            </w:tcBorders>
          </w:tcPr>
          <w:p w14:paraId="124BE72A"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-0.24***</w:t>
            </w:r>
          </w:p>
        </w:tc>
        <w:tc>
          <w:tcPr>
            <w:tcW w:w="1296" w:type="dxa"/>
            <w:tcBorders>
              <w:top w:val="nil"/>
              <w:left w:val="nil"/>
              <w:bottom w:val="nil"/>
              <w:right w:val="nil"/>
            </w:tcBorders>
          </w:tcPr>
          <w:p w14:paraId="04EFF6C6"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-0.24***</w:t>
            </w:r>
          </w:p>
        </w:tc>
        <w:tc>
          <w:tcPr>
            <w:tcW w:w="1296" w:type="dxa"/>
            <w:tcBorders>
              <w:top w:val="nil"/>
              <w:left w:val="nil"/>
              <w:bottom w:val="nil"/>
              <w:right w:val="nil"/>
            </w:tcBorders>
          </w:tcPr>
          <w:p w14:paraId="04DACC78"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58E2D675"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r>
      <w:tr w:rsidR="008A3C89" w:rsidRPr="00F26EF7" w14:paraId="0BCD59F5" w14:textId="77777777" w:rsidTr="008439C0">
        <w:trPr>
          <w:jc w:val="center"/>
        </w:trPr>
        <w:tc>
          <w:tcPr>
            <w:tcW w:w="3819" w:type="dxa"/>
            <w:tcBorders>
              <w:top w:val="nil"/>
              <w:left w:val="nil"/>
              <w:bottom w:val="nil"/>
              <w:right w:val="nil"/>
            </w:tcBorders>
          </w:tcPr>
          <w:p w14:paraId="660F2763"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6E66E1C5"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(0.03)</w:t>
            </w:r>
          </w:p>
        </w:tc>
        <w:tc>
          <w:tcPr>
            <w:tcW w:w="1296" w:type="dxa"/>
            <w:tcBorders>
              <w:top w:val="nil"/>
              <w:left w:val="nil"/>
              <w:bottom w:val="nil"/>
              <w:right w:val="nil"/>
            </w:tcBorders>
          </w:tcPr>
          <w:p w14:paraId="7BF0367A"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(0.03)</w:t>
            </w:r>
          </w:p>
        </w:tc>
        <w:tc>
          <w:tcPr>
            <w:tcW w:w="1296" w:type="dxa"/>
            <w:tcBorders>
              <w:top w:val="nil"/>
              <w:left w:val="nil"/>
              <w:bottom w:val="nil"/>
              <w:right w:val="nil"/>
            </w:tcBorders>
          </w:tcPr>
          <w:p w14:paraId="4966E686"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0BA6746E"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r>
      <w:tr w:rsidR="008A3C89" w:rsidRPr="00F26EF7" w14:paraId="13E87BA0" w14:textId="77777777" w:rsidTr="008439C0">
        <w:trPr>
          <w:jc w:val="center"/>
        </w:trPr>
        <w:tc>
          <w:tcPr>
            <w:tcW w:w="3819" w:type="dxa"/>
            <w:tcBorders>
              <w:top w:val="nil"/>
              <w:left w:val="nil"/>
              <w:bottom w:val="nil"/>
              <w:right w:val="nil"/>
            </w:tcBorders>
          </w:tcPr>
          <w:p w14:paraId="6000D61B" w14:textId="5F267DD4" w:rsidR="008A3C89" w:rsidRPr="00F26EF7" w:rsidRDefault="00647C50"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Time since violence^</w:t>
            </w:r>
            <w:r w:rsidR="008A3C89" w:rsidRPr="00F26EF7">
              <w:rPr>
                <w:rFonts w:cs="Times New Roman"/>
                <w:sz w:val="24"/>
                <w:szCs w:val="24"/>
                <w:lang w:val="en-US"/>
              </w:rPr>
              <w:t>2</w:t>
            </w:r>
          </w:p>
        </w:tc>
        <w:tc>
          <w:tcPr>
            <w:tcW w:w="1296" w:type="dxa"/>
            <w:tcBorders>
              <w:top w:val="nil"/>
              <w:left w:val="nil"/>
              <w:bottom w:val="nil"/>
              <w:right w:val="nil"/>
            </w:tcBorders>
          </w:tcPr>
          <w:p w14:paraId="1B22BC4D"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c>
          <w:tcPr>
            <w:tcW w:w="1296" w:type="dxa"/>
            <w:tcBorders>
              <w:top w:val="nil"/>
              <w:left w:val="nil"/>
              <w:bottom w:val="nil"/>
              <w:right w:val="nil"/>
            </w:tcBorders>
          </w:tcPr>
          <w:p w14:paraId="1E9E9E6E"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c>
          <w:tcPr>
            <w:tcW w:w="1296" w:type="dxa"/>
            <w:tcBorders>
              <w:top w:val="nil"/>
              <w:left w:val="nil"/>
              <w:bottom w:val="nil"/>
              <w:right w:val="nil"/>
            </w:tcBorders>
          </w:tcPr>
          <w:p w14:paraId="4630AE3D"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5499308D"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r>
      <w:tr w:rsidR="008A3C89" w:rsidRPr="00F26EF7" w14:paraId="0302C8D6" w14:textId="77777777" w:rsidTr="008439C0">
        <w:trPr>
          <w:jc w:val="center"/>
        </w:trPr>
        <w:tc>
          <w:tcPr>
            <w:tcW w:w="3819" w:type="dxa"/>
            <w:tcBorders>
              <w:top w:val="nil"/>
              <w:left w:val="nil"/>
              <w:bottom w:val="nil"/>
              <w:right w:val="nil"/>
            </w:tcBorders>
          </w:tcPr>
          <w:p w14:paraId="58DB59E7"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7214D645"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246D0FBA"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07011363"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4F517503"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r>
      <w:tr w:rsidR="008A3C89" w:rsidRPr="00F26EF7" w14:paraId="2611A850" w14:textId="77777777" w:rsidTr="008439C0">
        <w:trPr>
          <w:jc w:val="center"/>
        </w:trPr>
        <w:tc>
          <w:tcPr>
            <w:tcW w:w="3819" w:type="dxa"/>
            <w:tcBorders>
              <w:top w:val="nil"/>
              <w:left w:val="nil"/>
              <w:bottom w:val="nil"/>
              <w:right w:val="nil"/>
            </w:tcBorders>
          </w:tcPr>
          <w:p w14:paraId="1CDF7DEE" w14:textId="65AD142F" w:rsidR="008A3C89" w:rsidRPr="00F26EF7" w:rsidRDefault="00647C50"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Time since violence^3</w:t>
            </w:r>
          </w:p>
        </w:tc>
        <w:tc>
          <w:tcPr>
            <w:tcW w:w="1296" w:type="dxa"/>
            <w:tcBorders>
              <w:top w:val="nil"/>
              <w:left w:val="nil"/>
              <w:bottom w:val="nil"/>
              <w:right w:val="nil"/>
            </w:tcBorders>
          </w:tcPr>
          <w:p w14:paraId="44EED22E"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1901FA77"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7BF27334"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1F3A9923"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r>
      <w:tr w:rsidR="008A3C89" w:rsidRPr="00F26EF7" w14:paraId="6BA9D04C" w14:textId="77777777" w:rsidTr="008439C0">
        <w:trPr>
          <w:jc w:val="center"/>
        </w:trPr>
        <w:tc>
          <w:tcPr>
            <w:tcW w:w="3819" w:type="dxa"/>
            <w:tcBorders>
              <w:top w:val="nil"/>
              <w:left w:val="nil"/>
              <w:bottom w:val="nil"/>
              <w:right w:val="nil"/>
            </w:tcBorders>
          </w:tcPr>
          <w:p w14:paraId="0E72BB50"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6288B305"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3148A12E"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4A5C3DCC"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4FBB9E04"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r>
      <w:tr w:rsidR="008A3C89" w:rsidRPr="00F26EF7" w14:paraId="297F6E3D" w14:textId="77777777" w:rsidTr="008439C0">
        <w:trPr>
          <w:jc w:val="center"/>
        </w:trPr>
        <w:tc>
          <w:tcPr>
            <w:tcW w:w="3819" w:type="dxa"/>
            <w:tcBorders>
              <w:top w:val="nil"/>
              <w:left w:val="nil"/>
              <w:bottom w:val="nil"/>
              <w:right w:val="nil"/>
            </w:tcBorders>
          </w:tcPr>
          <w:p w14:paraId="6CA8F36F" w14:textId="2BD678A3" w:rsidR="008A3C89" w:rsidRPr="00F26EF7" w:rsidRDefault="00647C50"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CPI</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288FE4E2"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c>
          <w:tcPr>
            <w:tcW w:w="1296" w:type="dxa"/>
            <w:tcBorders>
              <w:top w:val="nil"/>
              <w:left w:val="nil"/>
              <w:bottom w:val="nil"/>
              <w:right w:val="nil"/>
            </w:tcBorders>
          </w:tcPr>
          <w:p w14:paraId="334C79CF"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c>
          <w:tcPr>
            <w:tcW w:w="1296" w:type="dxa"/>
            <w:tcBorders>
              <w:top w:val="nil"/>
              <w:left w:val="nil"/>
              <w:bottom w:val="nil"/>
              <w:right w:val="nil"/>
            </w:tcBorders>
          </w:tcPr>
          <w:p w14:paraId="17E9CD86"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7F7E408D"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r>
      <w:tr w:rsidR="008A3C89" w:rsidRPr="00F26EF7" w14:paraId="572FE031" w14:textId="77777777" w:rsidTr="008439C0">
        <w:trPr>
          <w:jc w:val="center"/>
        </w:trPr>
        <w:tc>
          <w:tcPr>
            <w:tcW w:w="3819" w:type="dxa"/>
            <w:tcBorders>
              <w:top w:val="nil"/>
              <w:left w:val="nil"/>
              <w:bottom w:val="nil"/>
              <w:right w:val="nil"/>
            </w:tcBorders>
          </w:tcPr>
          <w:p w14:paraId="18B4EE28"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70213FC2"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4697DD67"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4B158FDC"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153CC3CA"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r>
      <w:tr w:rsidR="008A3C89" w:rsidRPr="00F26EF7" w14:paraId="2558B667" w14:textId="77777777" w:rsidTr="008439C0">
        <w:trPr>
          <w:jc w:val="center"/>
        </w:trPr>
        <w:tc>
          <w:tcPr>
            <w:tcW w:w="3819" w:type="dxa"/>
            <w:tcBorders>
              <w:top w:val="nil"/>
              <w:left w:val="nil"/>
              <w:bottom w:val="nil"/>
              <w:right w:val="nil"/>
            </w:tcBorders>
          </w:tcPr>
          <w:p w14:paraId="62B8A066" w14:textId="10ED5220" w:rsidR="008A3C89" w:rsidRPr="00F26EF7" w:rsidRDefault="00B67F16"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 xml:space="preserve">Change in CPI </w:t>
            </w:r>
          </w:p>
        </w:tc>
        <w:tc>
          <w:tcPr>
            <w:tcW w:w="1296" w:type="dxa"/>
            <w:tcBorders>
              <w:top w:val="nil"/>
              <w:left w:val="nil"/>
              <w:bottom w:val="nil"/>
              <w:right w:val="nil"/>
            </w:tcBorders>
          </w:tcPr>
          <w:p w14:paraId="5FEE58C5"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0.68</w:t>
            </w:r>
          </w:p>
        </w:tc>
        <w:tc>
          <w:tcPr>
            <w:tcW w:w="1296" w:type="dxa"/>
            <w:tcBorders>
              <w:top w:val="nil"/>
              <w:left w:val="nil"/>
              <w:bottom w:val="nil"/>
              <w:right w:val="nil"/>
            </w:tcBorders>
          </w:tcPr>
          <w:p w14:paraId="55D07719"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0.56</w:t>
            </w:r>
          </w:p>
        </w:tc>
        <w:tc>
          <w:tcPr>
            <w:tcW w:w="1296" w:type="dxa"/>
            <w:tcBorders>
              <w:top w:val="nil"/>
              <w:left w:val="nil"/>
              <w:bottom w:val="nil"/>
              <w:right w:val="nil"/>
            </w:tcBorders>
          </w:tcPr>
          <w:p w14:paraId="3975EBC0"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-4.38*</w:t>
            </w:r>
          </w:p>
        </w:tc>
        <w:tc>
          <w:tcPr>
            <w:tcW w:w="1296" w:type="dxa"/>
            <w:tcBorders>
              <w:top w:val="nil"/>
              <w:left w:val="nil"/>
              <w:bottom w:val="nil"/>
              <w:right w:val="nil"/>
            </w:tcBorders>
          </w:tcPr>
          <w:p w14:paraId="7BE1ED47"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-4.05*</w:t>
            </w:r>
          </w:p>
        </w:tc>
      </w:tr>
      <w:tr w:rsidR="008A3C89" w:rsidRPr="00F26EF7" w14:paraId="48CBE276" w14:textId="77777777" w:rsidTr="008439C0">
        <w:trPr>
          <w:jc w:val="center"/>
        </w:trPr>
        <w:tc>
          <w:tcPr>
            <w:tcW w:w="3819" w:type="dxa"/>
            <w:tcBorders>
              <w:top w:val="nil"/>
              <w:left w:val="nil"/>
              <w:bottom w:val="nil"/>
              <w:right w:val="nil"/>
            </w:tcBorders>
          </w:tcPr>
          <w:p w14:paraId="575A5FC3"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4118AD95"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(0.83)</w:t>
            </w:r>
          </w:p>
        </w:tc>
        <w:tc>
          <w:tcPr>
            <w:tcW w:w="1296" w:type="dxa"/>
            <w:tcBorders>
              <w:top w:val="nil"/>
              <w:left w:val="nil"/>
              <w:bottom w:val="nil"/>
              <w:right w:val="nil"/>
            </w:tcBorders>
          </w:tcPr>
          <w:p w14:paraId="6AC7FCA0"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(0.81)</w:t>
            </w:r>
          </w:p>
        </w:tc>
        <w:tc>
          <w:tcPr>
            <w:tcW w:w="1296" w:type="dxa"/>
            <w:tcBorders>
              <w:top w:val="nil"/>
              <w:left w:val="nil"/>
              <w:bottom w:val="nil"/>
              <w:right w:val="nil"/>
            </w:tcBorders>
          </w:tcPr>
          <w:p w14:paraId="15337B9E"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(2.48)</w:t>
            </w:r>
          </w:p>
        </w:tc>
        <w:tc>
          <w:tcPr>
            <w:tcW w:w="1296" w:type="dxa"/>
            <w:tcBorders>
              <w:top w:val="nil"/>
              <w:left w:val="nil"/>
              <w:bottom w:val="nil"/>
              <w:right w:val="nil"/>
            </w:tcBorders>
          </w:tcPr>
          <w:p w14:paraId="731A08AE"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(2.45)</w:t>
            </w:r>
          </w:p>
        </w:tc>
      </w:tr>
      <w:tr w:rsidR="008A3C89" w:rsidRPr="00F26EF7" w14:paraId="0018C22B" w14:textId="77777777" w:rsidTr="008439C0">
        <w:trPr>
          <w:jc w:val="center"/>
        </w:trPr>
        <w:tc>
          <w:tcPr>
            <w:tcW w:w="3819" w:type="dxa"/>
            <w:tcBorders>
              <w:top w:val="nil"/>
              <w:left w:val="nil"/>
              <w:bottom w:val="nil"/>
              <w:right w:val="nil"/>
            </w:tcBorders>
          </w:tcPr>
          <w:p w14:paraId="50BBAE3F" w14:textId="44FB68FD" w:rsidR="008A3C89" w:rsidRPr="00F26EF7" w:rsidRDefault="00B67F16"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Any crisis</w:t>
            </w:r>
            <w:r w:rsidR="000157C7" w:rsidRPr="00F26EF7">
              <w:rPr>
                <w:rFonts w:cs="Times New Roman"/>
                <w:sz w:val="24"/>
                <w:szCs w:val="24"/>
                <w:lang w:val="en-US"/>
              </w:rPr>
              <w:t xml:space="preserve"> (lagged)</w:t>
            </w:r>
          </w:p>
        </w:tc>
        <w:tc>
          <w:tcPr>
            <w:tcW w:w="1296" w:type="dxa"/>
            <w:tcBorders>
              <w:top w:val="nil"/>
              <w:left w:val="nil"/>
              <w:bottom w:val="nil"/>
              <w:right w:val="nil"/>
            </w:tcBorders>
          </w:tcPr>
          <w:p w14:paraId="4B187782"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04ADA127"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-0.16</w:t>
            </w:r>
          </w:p>
        </w:tc>
        <w:tc>
          <w:tcPr>
            <w:tcW w:w="1296" w:type="dxa"/>
            <w:tcBorders>
              <w:top w:val="nil"/>
              <w:left w:val="nil"/>
              <w:bottom w:val="nil"/>
              <w:right w:val="nil"/>
            </w:tcBorders>
          </w:tcPr>
          <w:p w14:paraId="140C105D"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2DDC864B"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0.73**</w:t>
            </w:r>
          </w:p>
        </w:tc>
      </w:tr>
      <w:tr w:rsidR="008A3C89" w:rsidRPr="00F26EF7" w14:paraId="52E5E646" w14:textId="77777777" w:rsidTr="008439C0">
        <w:trPr>
          <w:jc w:val="center"/>
        </w:trPr>
        <w:tc>
          <w:tcPr>
            <w:tcW w:w="3819" w:type="dxa"/>
            <w:tcBorders>
              <w:top w:val="nil"/>
              <w:left w:val="nil"/>
              <w:bottom w:val="nil"/>
              <w:right w:val="nil"/>
            </w:tcBorders>
          </w:tcPr>
          <w:p w14:paraId="50DD93B5"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5F786769"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29241AC3"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(0.27)</w:t>
            </w:r>
          </w:p>
        </w:tc>
        <w:tc>
          <w:tcPr>
            <w:tcW w:w="1296" w:type="dxa"/>
            <w:tcBorders>
              <w:top w:val="nil"/>
              <w:left w:val="nil"/>
              <w:bottom w:val="nil"/>
              <w:right w:val="nil"/>
            </w:tcBorders>
          </w:tcPr>
          <w:p w14:paraId="692368BA"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0E75A920"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(0.30)</w:t>
            </w:r>
          </w:p>
        </w:tc>
      </w:tr>
      <w:tr w:rsidR="008A3C89" w:rsidRPr="00F26EF7" w14:paraId="38773344" w14:textId="77777777" w:rsidTr="008439C0">
        <w:trPr>
          <w:jc w:val="center"/>
        </w:trPr>
        <w:tc>
          <w:tcPr>
            <w:tcW w:w="3819" w:type="dxa"/>
            <w:tcBorders>
              <w:top w:val="nil"/>
              <w:left w:val="nil"/>
              <w:bottom w:val="nil"/>
              <w:right w:val="nil"/>
            </w:tcBorders>
          </w:tcPr>
          <w:p w14:paraId="58BFE75E" w14:textId="47523ED3" w:rsidR="008A3C89" w:rsidRPr="00F26EF7" w:rsidRDefault="008A3C89" w:rsidP="00B67F16">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 xml:space="preserve">Time </w:t>
            </w:r>
            <w:r w:rsidR="00B67F16" w:rsidRPr="00F26EF7">
              <w:rPr>
                <w:rFonts w:cs="Times New Roman"/>
                <w:sz w:val="24"/>
                <w:szCs w:val="24"/>
                <w:lang w:val="en-US"/>
              </w:rPr>
              <w:t>since no violence</w:t>
            </w:r>
          </w:p>
        </w:tc>
        <w:tc>
          <w:tcPr>
            <w:tcW w:w="1296" w:type="dxa"/>
            <w:tcBorders>
              <w:top w:val="nil"/>
              <w:left w:val="nil"/>
              <w:bottom w:val="nil"/>
              <w:right w:val="nil"/>
            </w:tcBorders>
          </w:tcPr>
          <w:p w14:paraId="551BD61E"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27F215FD"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0D4263A1"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-0.31***</w:t>
            </w:r>
          </w:p>
        </w:tc>
        <w:tc>
          <w:tcPr>
            <w:tcW w:w="1296" w:type="dxa"/>
            <w:tcBorders>
              <w:top w:val="nil"/>
              <w:left w:val="nil"/>
              <w:bottom w:val="nil"/>
              <w:right w:val="nil"/>
            </w:tcBorders>
          </w:tcPr>
          <w:p w14:paraId="46F4CD5D"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-0.31***</w:t>
            </w:r>
          </w:p>
        </w:tc>
      </w:tr>
      <w:tr w:rsidR="008A3C89" w:rsidRPr="00F26EF7" w14:paraId="231CAA35" w14:textId="77777777" w:rsidTr="008439C0">
        <w:trPr>
          <w:jc w:val="center"/>
        </w:trPr>
        <w:tc>
          <w:tcPr>
            <w:tcW w:w="3819" w:type="dxa"/>
            <w:tcBorders>
              <w:top w:val="nil"/>
              <w:left w:val="nil"/>
              <w:bottom w:val="nil"/>
              <w:right w:val="nil"/>
            </w:tcBorders>
          </w:tcPr>
          <w:p w14:paraId="4FF6804F"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3EA530EA"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62524F28"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0AB39CAF"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(0.03)</w:t>
            </w:r>
          </w:p>
        </w:tc>
        <w:tc>
          <w:tcPr>
            <w:tcW w:w="1296" w:type="dxa"/>
            <w:tcBorders>
              <w:top w:val="nil"/>
              <w:left w:val="nil"/>
              <w:bottom w:val="nil"/>
              <w:right w:val="nil"/>
            </w:tcBorders>
          </w:tcPr>
          <w:p w14:paraId="278E8F50"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(0.03)</w:t>
            </w:r>
          </w:p>
        </w:tc>
      </w:tr>
      <w:tr w:rsidR="008A3C89" w:rsidRPr="00F26EF7" w14:paraId="1767EE79" w14:textId="77777777" w:rsidTr="008439C0">
        <w:trPr>
          <w:jc w:val="center"/>
        </w:trPr>
        <w:tc>
          <w:tcPr>
            <w:tcW w:w="3819" w:type="dxa"/>
            <w:tcBorders>
              <w:top w:val="nil"/>
              <w:left w:val="nil"/>
              <w:bottom w:val="nil"/>
              <w:right w:val="nil"/>
            </w:tcBorders>
          </w:tcPr>
          <w:p w14:paraId="1DBA8B4C" w14:textId="4A530DD3" w:rsidR="008A3C89" w:rsidRPr="00F26EF7" w:rsidRDefault="00B67F16"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Time since no violence^</w:t>
            </w:r>
            <w:r w:rsidR="008A3C89" w:rsidRPr="00F26EF7">
              <w:rPr>
                <w:rFonts w:cs="Times New Roman"/>
                <w:sz w:val="24"/>
                <w:szCs w:val="24"/>
                <w:lang w:val="en-US"/>
              </w:rPr>
              <w:t>2</w:t>
            </w:r>
          </w:p>
        </w:tc>
        <w:tc>
          <w:tcPr>
            <w:tcW w:w="1296" w:type="dxa"/>
            <w:tcBorders>
              <w:top w:val="nil"/>
              <w:left w:val="nil"/>
              <w:bottom w:val="nil"/>
              <w:right w:val="nil"/>
            </w:tcBorders>
          </w:tcPr>
          <w:p w14:paraId="187EA67F"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4DC61F57"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44AD3834"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c>
          <w:tcPr>
            <w:tcW w:w="1296" w:type="dxa"/>
            <w:tcBorders>
              <w:top w:val="nil"/>
              <w:left w:val="nil"/>
              <w:bottom w:val="nil"/>
              <w:right w:val="nil"/>
            </w:tcBorders>
          </w:tcPr>
          <w:p w14:paraId="4451F670"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0.01***</w:t>
            </w:r>
          </w:p>
        </w:tc>
      </w:tr>
      <w:tr w:rsidR="008A3C89" w:rsidRPr="00F26EF7" w14:paraId="7102E034" w14:textId="77777777" w:rsidTr="008439C0">
        <w:trPr>
          <w:jc w:val="center"/>
        </w:trPr>
        <w:tc>
          <w:tcPr>
            <w:tcW w:w="3819" w:type="dxa"/>
            <w:tcBorders>
              <w:top w:val="nil"/>
              <w:left w:val="nil"/>
              <w:bottom w:val="nil"/>
              <w:right w:val="nil"/>
            </w:tcBorders>
          </w:tcPr>
          <w:p w14:paraId="09344BE3"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364FF239"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340C355F"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53684DFC"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63849988"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r>
      <w:tr w:rsidR="008A3C89" w:rsidRPr="00F26EF7" w14:paraId="51EC46AA" w14:textId="77777777" w:rsidTr="008439C0">
        <w:trPr>
          <w:jc w:val="center"/>
        </w:trPr>
        <w:tc>
          <w:tcPr>
            <w:tcW w:w="3819" w:type="dxa"/>
            <w:tcBorders>
              <w:top w:val="nil"/>
              <w:left w:val="nil"/>
              <w:bottom w:val="nil"/>
              <w:right w:val="nil"/>
            </w:tcBorders>
          </w:tcPr>
          <w:p w14:paraId="16601704" w14:textId="2BA86598" w:rsidR="008A3C89" w:rsidRPr="00F26EF7" w:rsidRDefault="00B67F16"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Time since no violence^</w:t>
            </w:r>
            <w:r w:rsidR="008A3C89" w:rsidRPr="00F26EF7">
              <w:rPr>
                <w:rFonts w:cs="Times New Roman"/>
                <w:sz w:val="24"/>
                <w:szCs w:val="24"/>
                <w:lang w:val="en-US"/>
              </w:rPr>
              <w:t>3</w:t>
            </w:r>
          </w:p>
        </w:tc>
        <w:tc>
          <w:tcPr>
            <w:tcW w:w="1296" w:type="dxa"/>
            <w:tcBorders>
              <w:top w:val="nil"/>
              <w:left w:val="nil"/>
              <w:bottom w:val="nil"/>
              <w:right w:val="nil"/>
            </w:tcBorders>
          </w:tcPr>
          <w:p w14:paraId="7F5FAC1F"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145B1FE5"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06E3469F"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5818FE9A"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r>
      <w:tr w:rsidR="008A3C89" w:rsidRPr="00F26EF7" w14:paraId="551DDE00" w14:textId="77777777" w:rsidTr="008439C0">
        <w:trPr>
          <w:jc w:val="center"/>
        </w:trPr>
        <w:tc>
          <w:tcPr>
            <w:tcW w:w="3819" w:type="dxa"/>
            <w:tcBorders>
              <w:top w:val="nil"/>
              <w:left w:val="nil"/>
              <w:bottom w:val="nil"/>
              <w:right w:val="nil"/>
            </w:tcBorders>
          </w:tcPr>
          <w:p w14:paraId="705FD719"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27CBD724"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520939B2"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46F755A7"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c>
          <w:tcPr>
            <w:tcW w:w="1296" w:type="dxa"/>
            <w:tcBorders>
              <w:top w:val="nil"/>
              <w:left w:val="nil"/>
              <w:bottom w:val="nil"/>
              <w:right w:val="nil"/>
            </w:tcBorders>
          </w:tcPr>
          <w:p w14:paraId="199DC867"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(0.00)</w:t>
            </w:r>
          </w:p>
        </w:tc>
      </w:tr>
      <w:tr w:rsidR="008A3C89" w:rsidRPr="00F26EF7" w14:paraId="2F3A5012" w14:textId="77777777" w:rsidTr="008439C0">
        <w:trPr>
          <w:jc w:val="center"/>
        </w:trPr>
        <w:tc>
          <w:tcPr>
            <w:tcW w:w="3819" w:type="dxa"/>
            <w:tcBorders>
              <w:top w:val="nil"/>
              <w:left w:val="nil"/>
              <w:bottom w:val="nil"/>
              <w:right w:val="nil"/>
            </w:tcBorders>
          </w:tcPr>
          <w:p w14:paraId="75DA83E2"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Constant</w:t>
            </w:r>
          </w:p>
        </w:tc>
        <w:tc>
          <w:tcPr>
            <w:tcW w:w="1296" w:type="dxa"/>
            <w:tcBorders>
              <w:top w:val="nil"/>
              <w:left w:val="nil"/>
              <w:bottom w:val="nil"/>
              <w:right w:val="nil"/>
            </w:tcBorders>
          </w:tcPr>
          <w:p w14:paraId="5B0265CB"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-2.76***</w:t>
            </w:r>
          </w:p>
        </w:tc>
        <w:tc>
          <w:tcPr>
            <w:tcW w:w="1296" w:type="dxa"/>
            <w:tcBorders>
              <w:top w:val="nil"/>
              <w:left w:val="nil"/>
              <w:bottom w:val="nil"/>
              <w:right w:val="nil"/>
            </w:tcBorders>
          </w:tcPr>
          <w:p w14:paraId="0607FDC8"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-2.76***</w:t>
            </w:r>
          </w:p>
        </w:tc>
        <w:tc>
          <w:tcPr>
            <w:tcW w:w="1296" w:type="dxa"/>
            <w:tcBorders>
              <w:top w:val="nil"/>
              <w:left w:val="nil"/>
              <w:bottom w:val="nil"/>
              <w:right w:val="nil"/>
            </w:tcBorders>
          </w:tcPr>
          <w:p w14:paraId="7B9F9DBF"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0.96***</w:t>
            </w:r>
          </w:p>
        </w:tc>
        <w:tc>
          <w:tcPr>
            <w:tcW w:w="1296" w:type="dxa"/>
            <w:tcBorders>
              <w:top w:val="nil"/>
              <w:left w:val="nil"/>
              <w:bottom w:val="nil"/>
              <w:right w:val="nil"/>
            </w:tcBorders>
          </w:tcPr>
          <w:p w14:paraId="35739C27"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0.96***</w:t>
            </w:r>
          </w:p>
        </w:tc>
      </w:tr>
      <w:tr w:rsidR="008A3C89" w:rsidRPr="00F26EF7" w14:paraId="3A2A89EA" w14:textId="77777777" w:rsidTr="008439C0">
        <w:trPr>
          <w:jc w:val="center"/>
        </w:trPr>
        <w:tc>
          <w:tcPr>
            <w:tcW w:w="3819" w:type="dxa"/>
            <w:tcBorders>
              <w:top w:val="nil"/>
              <w:left w:val="nil"/>
              <w:bottom w:val="nil"/>
              <w:right w:val="nil"/>
            </w:tcBorders>
          </w:tcPr>
          <w:p w14:paraId="6B1E9C73"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1064E6C9"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(0.21)</w:t>
            </w:r>
          </w:p>
        </w:tc>
        <w:tc>
          <w:tcPr>
            <w:tcW w:w="1296" w:type="dxa"/>
            <w:tcBorders>
              <w:top w:val="nil"/>
              <w:left w:val="nil"/>
              <w:bottom w:val="nil"/>
              <w:right w:val="nil"/>
            </w:tcBorders>
          </w:tcPr>
          <w:p w14:paraId="09F65C01"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(0.21)</w:t>
            </w:r>
          </w:p>
        </w:tc>
        <w:tc>
          <w:tcPr>
            <w:tcW w:w="1296" w:type="dxa"/>
            <w:tcBorders>
              <w:top w:val="nil"/>
              <w:left w:val="nil"/>
              <w:bottom w:val="nil"/>
              <w:right w:val="nil"/>
            </w:tcBorders>
          </w:tcPr>
          <w:p w14:paraId="4B344191"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(0.25)</w:t>
            </w:r>
          </w:p>
        </w:tc>
        <w:tc>
          <w:tcPr>
            <w:tcW w:w="1296" w:type="dxa"/>
            <w:tcBorders>
              <w:top w:val="nil"/>
              <w:left w:val="nil"/>
              <w:bottom w:val="nil"/>
              <w:right w:val="nil"/>
            </w:tcBorders>
          </w:tcPr>
          <w:p w14:paraId="2EC44226"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(0.25)</w:t>
            </w:r>
          </w:p>
        </w:tc>
      </w:tr>
      <w:tr w:rsidR="008A3C89" w:rsidRPr="00F26EF7" w14:paraId="38E7EE2A" w14:textId="77777777" w:rsidTr="008439C0">
        <w:trPr>
          <w:jc w:val="center"/>
        </w:trPr>
        <w:tc>
          <w:tcPr>
            <w:tcW w:w="3819" w:type="dxa"/>
            <w:tcBorders>
              <w:top w:val="nil"/>
              <w:left w:val="nil"/>
              <w:bottom w:val="nil"/>
              <w:right w:val="nil"/>
            </w:tcBorders>
          </w:tcPr>
          <w:p w14:paraId="0CF9B53F"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p>
        </w:tc>
        <w:tc>
          <w:tcPr>
            <w:tcW w:w="1296" w:type="dxa"/>
            <w:tcBorders>
              <w:top w:val="nil"/>
              <w:left w:val="nil"/>
              <w:bottom w:val="nil"/>
              <w:right w:val="nil"/>
            </w:tcBorders>
          </w:tcPr>
          <w:p w14:paraId="62AAE031"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50679B61"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31C0C170"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c>
          <w:tcPr>
            <w:tcW w:w="1296" w:type="dxa"/>
            <w:tcBorders>
              <w:top w:val="nil"/>
              <w:left w:val="nil"/>
              <w:bottom w:val="nil"/>
              <w:right w:val="nil"/>
            </w:tcBorders>
          </w:tcPr>
          <w:p w14:paraId="4AC9C06D"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p>
        </w:tc>
      </w:tr>
      <w:tr w:rsidR="008A3C89" w:rsidRPr="00F26EF7" w14:paraId="25D3A78F" w14:textId="77777777" w:rsidTr="008439C0">
        <w:trPr>
          <w:jc w:val="center"/>
        </w:trPr>
        <w:tc>
          <w:tcPr>
            <w:tcW w:w="3819" w:type="dxa"/>
            <w:tcBorders>
              <w:top w:val="nil"/>
              <w:left w:val="nil"/>
              <w:bottom w:val="nil"/>
              <w:right w:val="nil"/>
            </w:tcBorders>
          </w:tcPr>
          <w:p w14:paraId="34A88F8F" w14:textId="77777777" w:rsidR="008A3C89" w:rsidRPr="00F26EF7" w:rsidRDefault="008A3C89"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Observations</w:t>
            </w:r>
          </w:p>
        </w:tc>
        <w:tc>
          <w:tcPr>
            <w:tcW w:w="1296" w:type="dxa"/>
            <w:tcBorders>
              <w:top w:val="nil"/>
              <w:left w:val="nil"/>
              <w:bottom w:val="nil"/>
              <w:right w:val="nil"/>
            </w:tcBorders>
          </w:tcPr>
          <w:p w14:paraId="419833AC"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11,236</w:t>
            </w:r>
          </w:p>
        </w:tc>
        <w:tc>
          <w:tcPr>
            <w:tcW w:w="1296" w:type="dxa"/>
            <w:tcBorders>
              <w:top w:val="nil"/>
              <w:left w:val="nil"/>
              <w:bottom w:val="nil"/>
              <w:right w:val="nil"/>
            </w:tcBorders>
          </w:tcPr>
          <w:p w14:paraId="07031558"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11,236</w:t>
            </w:r>
          </w:p>
        </w:tc>
        <w:tc>
          <w:tcPr>
            <w:tcW w:w="1296" w:type="dxa"/>
            <w:tcBorders>
              <w:top w:val="nil"/>
              <w:left w:val="nil"/>
              <w:bottom w:val="nil"/>
              <w:right w:val="nil"/>
            </w:tcBorders>
          </w:tcPr>
          <w:p w14:paraId="1C568BDD"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1,769</w:t>
            </w:r>
          </w:p>
        </w:tc>
        <w:tc>
          <w:tcPr>
            <w:tcW w:w="1296" w:type="dxa"/>
            <w:tcBorders>
              <w:top w:val="nil"/>
              <w:left w:val="nil"/>
              <w:bottom w:val="nil"/>
              <w:right w:val="nil"/>
            </w:tcBorders>
          </w:tcPr>
          <w:p w14:paraId="3F406E48"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1,769</w:t>
            </w:r>
          </w:p>
        </w:tc>
      </w:tr>
      <w:tr w:rsidR="008A3C89" w:rsidRPr="00F26EF7" w14:paraId="05C31E2F" w14:textId="77777777" w:rsidTr="008439C0">
        <w:tblPrEx>
          <w:tblBorders>
            <w:bottom w:val="single" w:sz="6" w:space="0" w:color="auto"/>
          </w:tblBorders>
        </w:tblPrEx>
        <w:trPr>
          <w:jc w:val="center"/>
        </w:trPr>
        <w:tc>
          <w:tcPr>
            <w:tcW w:w="3819" w:type="dxa"/>
            <w:tcBorders>
              <w:top w:val="nil"/>
              <w:left w:val="nil"/>
              <w:bottom w:val="single" w:sz="6" w:space="0" w:color="auto"/>
              <w:right w:val="nil"/>
            </w:tcBorders>
          </w:tcPr>
          <w:p w14:paraId="43CFE5E7" w14:textId="2BDD8D1B" w:rsidR="008A3C89" w:rsidRPr="00F26EF7" w:rsidRDefault="00546178" w:rsidP="008439C0">
            <w:pPr>
              <w:widowControl w:val="0"/>
              <w:autoSpaceDE w:val="0"/>
              <w:autoSpaceDN w:val="0"/>
              <w:adjustRightInd w:val="0"/>
              <w:spacing w:after="0" w:line="240" w:lineRule="auto"/>
              <w:rPr>
                <w:rFonts w:cs="Times New Roman"/>
                <w:sz w:val="24"/>
                <w:szCs w:val="24"/>
                <w:lang w:val="en-US"/>
              </w:rPr>
            </w:pPr>
            <w:r w:rsidRPr="00F26EF7">
              <w:rPr>
                <w:rFonts w:cs="Times New Roman"/>
                <w:sz w:val="24"/>
                <w:szCs w:val="24"/>
                <w:lang w:val="en-US"/>
              </w:rPr>
              <w:t>Log-likelihood</w:t>
            </w:r>
          </w:p>
        </w:tc>
        <w:tc>
          <w:tcPr>
            <w:tcW w:w="1296" w:type="dxa"/>
            <w:tcBorders>
              <w:top w:val="nil"/>
              <w:left w:val="nil"/>
              <w:bottom w:val="single" w:sz="6" w:space="0" w:color="auto"/>
              <w:right w:val="nil"/>
            </w:tcBorders>
          </w:tcPr>
          <w:p w14:paraId="19B3974D"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-972.5</w:t>
            </w:r>
          </w:p>
        </w:tc>
        <w:tc>
          <w:tcPr>
            <w:tcW w:w="1296" w:type="dxa"/>
            <w:tcBorders>
              <w:top w:val="nil"/>
              <w:left w:val="nil"/>
              <w:bottom w:val="single" w:sz="6" w:space="0" w:color="auto"/>
              <w:right w:val="nil"/>
            </w:tcBorders>
          </w:tcPr>
          <w:p w14:paraId="19C02A49"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-973.0</w:t>
            </w:r>
          </w:p>
        </w:tc>
        <w:tc>
          <w:tcPr>
            <w:tcW w:w="1296" w:type="dxa"/>
            <w:tcBorders>
              <w:top w:val="nil"/>
              <w:left w:val="nil"/>
              <w:bottom w:val="single" w:sz="6" w:space="0" w:color="auto"/>
              <w:right w:val="nil"/>
            </w:tcBorders>
          </w:tcPr>
          <w:p w14:paraId="7C22E6AB"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-604.1</w:t>
            </w:r>
          </w:p>
        </w:tc>
        <w:tc>
          <w:tcPr>
            <w:tcW w:w="1296" w:type="dxa"/>
            <w:tcBorders>
              <w:top w:val="nil"/>
              <w:left w:val="nil"/>
              <w:bottom w:val="single" w:sz="6" w:space="0" w:color="auto"/>
              <w:right w:val="nil"/>
            </w:tcBorders>
          </w:tcPr>
          <w:p w14:paraId="61F81825" w14:textId="77777777" w:rsidR="008A3C89" w:rsidRPr="00F26EF7" w:rsidRDefault="008A3C89" w:rsidP="008439C0">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-604.6</w:t>
            </w:r>
          </w:p>
        </w:tc>
      </w:tr>
    </w:tbl>
    <w:p w14:paraId="2969A347" w14:textId="77777777" w:rsidR="008A3C89" w:rsidRPr="00F26EF7" w:rsidRDefault="008A3C89" w:rsidP="008A3C89">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Standard errors in parentheses</w:t>
      </w:r>
    </w:p>
    <w:p w14:paraId="54A9A918" w14:textId="77777777" w:rsidR="008A3C89" w:rsidRPr="00F26EF7" w:rsidRDefault="008A3C89" w:rsidP="008A3C89">
      <w:pPr>
        <w:widowControl w:val="0"/>
        <w:autoSpaceDE w:val="0"/>
        <w:autoSpaceDN w:val="0"/>
        <w:adjustRightInd w:val="0"/>
        <w:spacing w:after="0" w:line="240" w:lineRule="auto"/>
        <w:jc w:val="center"/>
        <w:rPr>
          <w:rFonts w:cs="Times New Roman"/>
          <w:sz w:val="24"/>
          <w:szCs w:val="24"/>
          <w:lang w:val="en-US"/>
        </w:rPr>
      </w:pPr>
      <w:r w:rsidRPr="00F26EF7">
        <w:rPr>
          <w:rFonts w:cs="Times New Roman"/>
          <w:sz w:val="24"/>
          <w:szCs w:val="24"/>
          <w:lang w:val="en-US"/>
        </w:rPr>
        <w:t>*** p&lt;0.01, ** p&lt;0.05, * p&lt;0.1</w:t>
      </w:r>
    </w:p>
    <w:p w14:paraId="03946F6E" w14:textId="77777777" w:rsidR="00A61493" w:rsidRPr="00F26EF7" w:rsidRDefault="00A61493" w:rsidP="007A3DC4">
      <w:pPr>
        <w:rPr>
          <w:sz w:val="24"/>
          <w:szCs w:val="24"/>
          <w:lang w:val="en-US"/>
        </w:rPr>
      </w:pPr>
    </w:p>
    <w:p w14:paraId="6A54B444" w14:textId="36155C0D" w:rsidR="007A3DC4" w:rsidRPr="00F26EF7" w:rsidRDefault="007A3DC4" w:rsidP="007A3DC4">
      <w:pPr>
        <w:rPr>
          <w:sz w:val="24"/>
          <w:szCs w:val="24"/>
          <w:lang w:val="en-US"/>
        </w:rPr>
      </w:pPr>
      <w:r w:rsidRPr="00F26EF7">
        <w:rPr>
          <w:sz w:val="24"/>
          <w:szCs w:val="24"/>
          <w:lang w:val="en-US"/>
        </w:rPr>
        <w:t xml:space="preserve">When we turn to the termination of violent conflict in </w:t>
      </w:r>
      <w:r w:rsidR="00B333B9" w:rsidRPr="00F26EF7">
        <w:rPr>
          <w:sz w:val="24"/>
          <w:szCs w:val="24"/>
          <w:lang w:val="en-US"/>
        </w:rPr>
        <w:t>Models 3 and 4 in Table 4</w:t>
      </w:r>
      <w:r w:rsidRPr="00F26EF7">
        <w:rPr>
          <w:sz w:val="24"/>
          <w:szCs w:val="24"/>
          <w:lang w:val="en-US"/>
        </w:rPr>
        <w:t xml:space="preserve">, we again find no </w:t>
      </w:r>
      <w:r w:rsidR="00703208">
        <w:rPr>
          <w:sz w:val="24"/>
          <w:szCs w:val="24"/>
          <w:lang w:val="en-US"/>
        </w:rPr>
        <w:t>evidence for any impact of IMF programs</w:t>
      </w:r>
      <w:r w:rsidR="009A390E">
        <w:rPr>
          <w:sz w:val="24"/>
          <w:szCs w:val="24"/>
          <w:lang w:val="en-US"/>
        </w:rPr>
        <w:t xml:space="preserve">, but </w:t>
      </w:r>
      <w:r w:rsidR="008A3C89" w:rsidRPr="00F26EF7">
        <w:rPr>
          <w:sz w:val="24"/>
          <w:szCs w:val="24"/>
          <w:lang w:val="en-US"/>
        </w:rPr>
        <w:t xml:space="preserve">economic crises appear to accelerate the </w:t>
      </w:r>
      <w:r w:rsidRPr="00F26EF7">
        <w:rPr>
          <w:sz w:val="24"/>
          <w:szCs w:val="24"/>
          <w:lang w:val="en-US"/>
        </w:rPr>
        <w:t xml:space="preserve">termination of violence. This seems contrary to the arguments and mechanisms </w:t>
      </w:r>
      <w:r w:rsidR="00CE552A" w:rsidRPr="00F26EF7">
        <w:rPr>
          <w:sz w:val="24"/>
          <w:szCs w:val="24"/>
          <w:lang w:val="en-US"/>
        </w:rPr>
        <w:t xml:space="preserve">that critics such as Hoodie et al. (2010) </w:t>
      </w:r>
      <w:r w:rsidR="00BC7FAB">
        <w:rPr>
          <w:sz w:val="24"/>
          <w:szCs w:val="24"/>
          <w:lang w:val="en-US"/>
        </w:rPr>
        <w:t>invoke,</w:t>
      </w:r>
      <w:r w:rsidRPr="00F26EF7">
        <w:rPr>
          <w:sz w:val="24"/>
          <w:szCs w:val="24"/>
          <w:lang w:val="en-US"/>
        </w:rPr>
        <w:t xml:space="preserve"> which </w:t>
      </w:r>
      <w:r w:rsidR="00BC7FAB">
        <w:rPr>
          <w:sz w:val="24"/>
          <w:szCs w:val="24"/>
          <w:lang w:val="en-US"/>
        </w:rPr>
        <w:t>suggest</w:t>
      </w:r>
      <w:r w:rsidR="00703208">
        <w:rPr>
          <w:sz w:val="24"/>
          <w:szCs w:val="24"/>
          <w:lang w:val="en-US"/>
        </w:rPr>
        <w:t xml:space="preserve"> </w:t>
      </w:r>
      <w:r w:rsidRPr="00F26EF7">
        <w:rPr>
          <w:sz w:val="24"/>
          <w:szCs w:val="24"/>
          <w:lang w:val="en-US"/>
        </w:rPr>
        <w:t>that IMF involvement should fuel and sustain ongoing violent conflict.</w:t>
      </w:r>
    </w:p>
    <w:p w14:paraId="2A30119E" w14:textId="27177274" w:rsidR="00F405BC" w:rsidRPr="00F26EF7" w:rsidRDefault="001B50D9">
      <w:pPr>
        <w:rPr>
          <w:sz w:val="24"/>
          <w:szCs w:val="24"/>
          <w:lang w:val="en-US"/>
        </w:rPr>
      </w:pPr>
      <w:r>
        <w:rPr>
          <w:sz w:val="24"/>
          <w:szCs w:val="24"/>
          <w:lang w:val="en-US"/>
        </w:rPr>
        <w:lastRenderedPageBreak/>
        <w:t>T</w:t>
      </w:r>
      <w:r w:rsidR="00D4646A" w:rsidRPr="00F26EF7">
        <w:rPr>
          <w:sz w:val="24"/>
          <w:szCs w:val="24"/>
          <w:lang w:val="en-US"/>
        </w:rPr>
        <w:t>he results so far</w:t>
      </w:r>
      <w:r>
        <w:rPr>
          <w:sz w:val="24"/>
          <w:szCs w:val="24"/>
          <w:lang w:val="en-US"/>
        </w:rPr>
        <w:t xml:space="preserve"> have been </w:t>
      </w:r>
      <w:r w:rsidR="00D4646A" w:rsidRPr="00F26EF7">
        <w:rPr>
          <w:sz w:val="24"/>
          <w:szCs w:val="24"/>
          <w:lang w:val="en-US"/>
        </w:rPr>
        <w:t xml:space="preserve">based </w:t>
      </w:r>
      <w:r w:rsidR="00196B4B" w:rsidRPr="00F26EF7">
        <w:rPr>
          <w:sz w:val="24"/>
          <w:szCs w:val="24"/>
          <w:lang w:val="en-US"/>
        </w:rPr>
        <w:t xml:space="preserve">directly </w:t>
      </w:r>
      <w:r>
        <w:rPr>
          <w:sz w:val="24"/>
          <w:szCs w:val="24"/>
          <w:lang w:val="en-US"/>
        </w:rPr>
        <w:t xml:space="preserve">on the observed data, </w:t>
      </w:r>
      <w:r w:rsidR="009A390E">
        <w:rPr>
          <w:sz w:val="24"/>
          <w:szCs w:val="24"/>
          <w:lang w:val="en-US"/>
        </w:rPr>
        <w:t xml:space="preserve">and not </w:t>
      </w:r>
      <w:r w:rsidR="00D4646A" w:rsidRPr="00F26EF7">
        <w:rPr>
          <w:sz w:val="24"/>
          <w:szCs w:val="24"/>
          <w:lang w:val="en-US"/>
        </w:rPr>
        <w:t>consider</w:t>
      </w:r>
      <w:r>
        <w:rPr>
          <w:sz w:val="24"/>
          <w:szCs w:val="24"/>
          <w:lang w:val="en-US"/>
        </w:rPr>
        <w:t>ing</w:t>
      </w:r>
      <w:r w:rsidR="00D4646A" w:rsidRPr="00F26EF7">
        <w:rPr>
          <w:sz w:val="24"/>
          <w:szCs w:val="24"/>
          <w:lang w:val="en-US"/>
        </w:rPr>
        <w:t xml:space="preserve"> the possible endogeneity of IMF interventions</w:t>
      </w:r>
      <w:r w:rsidR="00196B4B" w:rsidRPr="00F26EF7">
        <w:rPr>
          <w:sz w:val="24"/>
          <w:szCs w:val="24"/>
          <w:lang w:val="en-US"/>
        </w:rPr>
        <w:t xml:space="preserve"> to economic crisis conditions</w:t>
      </w:r>
      <w:r w:rsidR="00D4646A" w:rsidRPr="00F26EF7">
        <w:rPr>
          <w:sz w:val="24"/>
          <w:szCs w:val="24"/>
          <w:lang w:val="en-US"/>
        </w:rPr>
        <w:t xml:space="preserve">. </w:t>
      </w:r>
      <w:r w:rsidR="009A390E">
        <w:rPr>
          <w:sz w:val="24"/>
          <w:szCs w:val="24"/>
          <w:lang w:val="en-US"/>
        </w:rPr>
        <w:t xml:space="preserve">However, </w:t>
      </w:r>
      <w:r w:rsidR="00D4646A" w:rsidRPr="00F26EF7">
        <w:rPr>
          <w:sz w:val="24"/>
          <w:szCs w:val="24"/>
          <w:lang w:val="en-US"/>
        </w:rPr>
        <w:t>there may be important omitted variables that influence both the decisio</w:t>
      </w:r>
      <w:r w:rsidR="00921309" w:rsidRPr="00F26EF7">
        <w:rPr>
          <w:sz w:val="24"/>
          <w:szCs w:val="24"/>
          <w:lang w:val="en-US"/>
        </w:rPr>
        <w:t>n of the IMF to become involved</w:t>
      </w:r>
      <w:r w:rsidR="00D4646A" w:rsidRPr="00F26EF7">
        <w:rPr>
          <w:sz w:val="24"/>
          <w:szCs w:val="24"/>
          <w:lang w:val="en-US"/>
        </w:rPr>
        <w:t xml:space="preserve"> and the likelihood of </w:t>
      </w:r>
      <w:r w:rsidR="00921309" w:rsidRPr="00F26EF7">
        <w:rPr>
          <w:sz w:val="24"/>
          <w:szCs w:val="24"/>
          <w:lang w:val="en-US"/>
        </w:rPr>
        <w:t>conflict</w:t>
      </w:r>
      <w:r w:rsidR="00896215" w:rsidRPr="00F26EF7">
        <w:rPr>
          <w:sz w:val="24"/>
          <w:szCs w:val="24"/>
          <w:lang w:val="en-US"/>
        </w:rPr>
        <w:t>.</w:t>
      </w:r>
      <w:r w:rsidR="009A390E">
        <w:rPr>
          <w:sz w:val="24"/>
          <w:szCs w:val="24"/>
          <w:lang w:val="en-US"/>
        </w:rPr>
        <w:t xml:space="preserve"> </w:t>
      </w:r>
      <w:r w:rsidR="00764F12" w:rsidRPr="00F26EF7">
        <w:rPr>
          <w:sz w:val="24"/>
          <w:szCs w:val="24"/>
          <w:lang w:val="en-US"/>
        </w:rPr>
        <w:t>In Table 5</w:t>
      </w:r>
      <w:r w:rsidR="00D4646A" w:rsidRPr="00F26EF7">
        <w:rPr>
          <w:sz w:val="24"/>
          <w:szCs w:val="24"/>
          <w:lang w:val="en-US"/>
        </w:rPr>
        <w:t xml:space="preserve"> we estimate a recursive bivariate probit</w:t>
      </w:r>
      <w:r w:rsidR="00896215" w:rsidRPr="00F26EF7">
        <w:rPr>
          <w:sz w:val="24"/>
          <w:szCs w:val="24"/>
          <w:lang w:val="en-US"/>
        </w:rPr>
        <w:t xml:space="preserve"> model</w:t>
      </w:r>
      <w:r w:rsidR="00D4646A" w:rsidRPr="00F26EF7">
        <w:rPr>
          <w:sz w:val="24"/>
          <w:szCs w:val="24"/>
          <w:lang w:val="en-US"/>
        </w:rPr>
        <w:t xml:space="preserve">, </w:t>
      </w:r>
      <w:r w:rsidR="00C92531" w:rsidRPr="00F26EF7">
        <w:rPr>
          <w:sz w:val="24"/>
          <w:szCs w:val="24"/>
          <w:lang w:val="en-US"/>
        </w:rPr>
        <w:t>in which</w:t>
      </w:r>
      <w:r w:rsidR="00896215" w:rsidRPr="00F26EF7">
        <w:rPr>
          <w:sz w:val="24"/>
          <w:szCs w:val="24"/>
          <w:lang w:val="en-US"/>
        </w:rPr>
        <w:t xml:space="preserve"> we add a </w:t>
      </w:r>
      <w:r w:rsidR="00D4646A" w:rsidRPr="00F26EF7">
        <w:rPr>
          <w:sz w:val="24"/>
          <w:szCs w:val="24"/>
          <w:lang w:val="en-US"/>
        </w:rPr>
        <w:t xml:space="preserve">second equation for IMF programs, using the share of IMF staff from a country as exogenous variation to predict </w:t>
      </w:r>
      <w:r w:rsidR="00896215" w:rsidRPr="00F26EF7">
        <w:rPr>
          <w:sz w:val="24"/>
          <w:szCs w:val="24"/>
          <w:lang w:val="en-US"/>
        </w:rPr>
        <w:t>to</w:t>
      </w:r>
      <w:r w:rsidR="00E20861" w:rsidRPr="00F26EF7">
        <w:rPr>
          <w:sz w:val="24"/>
          <w:szCs w:val="24"/>
          <w:lang w:val="en-US"/>
        </w:rPr>
        <w:t xml:space="preserve"> </w:t>
      </w:r>
      <w:r w:rsidR="00D4646A" w:rsidRPr="00F26EF7">
        <w:rPr>
          <w:sz w:val="24"/>
          <w:szCs w:val="24"/>
          <w:lang w:val="en-US"/>
        </w:rPr>
        <w:t xml:space="preserve">IMF programs. We focus on the results for protest first, shown in columns 1 and 2. As can be seen, we find a large coefficient for staff on IMF program, suggesting that the instrument is relevant for the outcome. The F test is 14, thus above the normal criterion for weak instruments. The </w:t>
      </w:r>
      <w:r w:rsidR="009C3FE4" w:rsidRPr="00F26EF7">
        <w:rPr>
          <w:sz w:val="24"/>
          <w:szCs w:val="24"/>
          <w:lang w:val="en-US"/>
        </w:rPr>
        <w:t xml:space="preserve">estimated ρ </w:t>
      </w:r>
      <w:r w:rsidR="00D4646A" w:rsidRPr="00F26EF7">
        <w:rPr>
          <w:sz w:val="24"/>
          <w:szCs w:val="24"/>
          <w:lang w:val="en-US"/>
        </w:rPr>
        <w:t xml:space="preserve">parameter is positive and significant, suggesting that the unobserved residuals in the first stage regression </w:t>
      </w:r>
      <w:r w:rsidR="009C3FE4" w:rsidRPr="00F26EF7">
        <w:rPr>
          <w:sz w:val="24"/>
          <w:szCs w:val="24"/>
          <w:lang w:val="en-US"/>
        </w:rPr>
        <w:t xml:space="preserve">for </w:t>
      </w:r>
      <w:r w:rsidR="00D4646A" w:rsidRPr="00F26EF7">
        <w:rPr>
          <w:sz w:val="24"/>
          <w:szCs w:val="24"/>
          <w:lang w:val="en-US"/>
        </w:rPr>
        <w:t xml:space="preserve">IMF programs also </w:t>
      </w:r>
      <w:r w:rsidR="009C3FE4" w:rsidRPr="00F26EF7">
        <w:rPr>
          <w:sz w:val="24"/>
          <w:szCs w:val="24"/>
          <w:lang w:val="en-US"/>
        </w:rPr>
        <w:t xml:space="preserve">appear to </w:t>
      </w:r>
      <w:r w:rsidR="00D4646A" w:rsidRPr="00F26EF7">
        <w:rPr>
          <w:sz w:val="24"/>
          <w:szCs w:val="24"/>
          <w:lang w:val="en-US"/>
        </w:rPr>
        <w:t xml:space="preserve">have a positive impact on the second stage outcome (i.e., conflict </w:t>
      </w:r>
      <w:r w:rsidR="009C3FE4" w:rsidRPr="00F26EF7">
        <w:rPr>
          <w:sz w:val="24"/>
          <w:szCs w:val="24"/>
          <w:lang w:val="en-US"/>
        </w:rPr>
        <w:t>onsets</w:t>
      </w:r>
      <w:r w:rsidR="00D4646A" w:rsidRPr="00F26EF7">
        <w:rPr>
          <w:sz w:val="24"/>
          <w:szCs w:val="24"/>
          <w:lang w:val="en-US"/>
        </w:rPr>
        <w:t xml:space="preserve">). </w:t>
      </w:r>
      <w:r w:rsidR="00D4646A" w:rsidRPr="00F26EF7">
        <w:rPr>
          <w:lang w:val="en-US"/>
        </w:rPr>
        <w:br w:type="page"/>
      </w:r>
    </w:p>
    <w:p w14:paraId="11209778" w14:textId="34A29B32" w:rsidR="00F405BC" w:rsidRPr="00F26EF7" w:rsidRDefault="00764F12">
      <w:pPr>
        <w:rPr>
          <w:sz w:val="24"/>
          <w:szCs w:val="24"/>
          <w:lang w:val="en-US"/>
        </w:rPr>
      </w:pPr>
      <w:r w:rsidRPr="00F26EF7">
        <w:rPr>
          <w:sz w:val="24"/>
          <w:szCs w:val="24"/>
          <w:lang w:val="en-US"/>
        </w:rPr>
        <w:lastRenderedPageBreak/>
        <w:t xml:space="preserve">Table 5: </w:t>
      </w:r>
      <w:r w:rsidR="00A42833" w:rsidRPr="00F26EF7">
        <w:rPr>
          <w:sz w:val="24"/>
          <w:szCs w:val="24"/>
          <w:lang w:val="en-US"/>
        </w:rPr>
        <w:t>B</w:t>
      </w:r>
      <w:r w:rsidR="00D4646A" w:rsidRPr="00F26EF7">
        <w:rPr>
          <w:sz w:val="24"/>
          <w:szCs w:val="24"/>
          <w:lang w:val="en-US"/>
        </w:rPr>
        <w:t>ivariate probit</w:t>
      </w:r>
      <w:r w:rsidR="00244ED6" w:rsidRPr="00F26EF7">
        <w:rPr>
          <w:sz w:val="24"/>
          <w:szCs w:val="24"/>
          <w:lang w:val="en-US"/>
        </w:rPr>
        <w:t>, conflict onset and IMF programs</w:t>
      </w:r>
    </w:p>
    <w:tbl>
      <w:tblPr>
        <w:tblW w:w="9435" w:type="dxa"/>
        <w:jc w:val="center"/>
        <w:tblBorders>
          <w:top w:val="single" w:sz="6" w:space="0" w:color="00000A"/>
        </w:tblBorders>
        <w:tblCellMar>
          <w:left w:w="75" w:type="dxa"/>
          <w:right w:w="75" w:type="dxa"/>
        </w:tblCellMar>
        <w:tblLook w:val="0000" w:firstRow="0" w:lastRow="0" w:firstColumn="0" w:lastColumn="0" w:noHBand="0" w:noVBand="0"/>
      </w:tblPr>
      <w:tblGrid>
        <w:gridCol w:w="3387"/>
        <w:gridCol w:w="1439"/>
        <w:gridCol w:w="1585"/>
        <w:gridCol w:w="1438"/>
        <w:gridCol w:w="1586"/>
      </w:tblGrid>
      <w:tr w:rsidR="00F405BC" w:rsidRPr="00F26EF7" w14:paraId="0B06F6E5" w14:textId="77777777">
        <w:trPr>
          <w:jc w:val="center"/>
        </w:trPr>
        <w:tc>
          <w:tcPr>
            <w:tcW w:w="3387" w:type="dxa"/>
            <w:tcBorders>
              <w:top w:val="single" w:sz="6" w:space="0" w:color="00000A"/>
            </w:tcBorders>
            <w:shd w:val="clear" w:color="auto" w:fill="auto"/>
          </w:tcPr>
          <w:p w14:paraId="2A5F8B7F" w14:textId="77777777" w:rsidR="00F405BC" w:rsidRPr="00F26EF7" w:rsidRDefault="00F405BC">
            <w:pPr>
              <w:widowControl w:val="0"/>
              <w:spacing w:after="0" w:line="240" w:lineRule="auto"/>
              <w:rPr>
                <w:rFonts w:cs="Times New Roman"/>
                <w:sz w:val="24"/>
                <w:szCs w:val="24"/>
                <w:lang w:val="en-US"/>
              </w:rPr>
            </w:pPr>
          </w:p>
        </w:tc>
        <w:tc>
          <w:tcPr>
            <w:tcW w:w="1439" w:type="dxa"/>
            <w:tcBorders>
              <w:top w:val="single" w:sz="6" w:space="0" w:color="00000A"/>
            </w:tcBorders>
            <w:shd w:val="clear" w:color="auto" w:fill="auto"/>
          </w:tcPr>
          <w:p w14:paraId="2E7743C1"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(1)</w:t>
            </w:r>
          </w:p>
        </w:tc>
        <w:tc>
          <w:tcPr>
            <w:tcW w:w="1585" w:type="dxa"/>
            <w:tcBorders>
              <w:top w:val="single" w:sz="6" w:space="0" w:color="00000A"/>
            </w:tcBorders>
            <w:shd w:val="clear" w:color="auto" w:fill="auto"/>
          </w:tcPr>
          <w:p w14:paraId="306F1AEE"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(2)</w:t>
            </w:r>
          </w:p>
        </w:tc>
        <w:tc>
          <w:tcPr>
            <w:tcW w:w="1438" w:type="dxa"/>
            <w:tcBorders>
              <w:top w:val="single" w:sz="6" w:space="0" w:color="00000A"/>
            </w:tcBorders>
            <w:shd w:val="clear" w:color="auto" w:fill="auto"/>
          </w:tcPr>
          <w:p w14:paraId="3168F1CE"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(4)</w:t>
            </w:r>
          </w:p>
        </w:tc>
        <w:tc>
          <w:tcPr>
            <w:tcW w:w="1586" w:type="dxa"/>
            <w:tcBorders>
              <w:top w:val="single" w:sz="6" w:space="0" w:color="00000A"/>
            </w:tcBorders>
            <w:shd w:val="clear" w:color="auto" w:fill="auto"/>
          </w:tcPr>
          <w:p w14:paraId="22114168"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(5)</w:t>
            </w:r>
          </w:p>
        </w:tc>
      </w:tr>
      <w:tr w:rsidR="00F405BC" w:rsidRPr="00F26EF7" w14:paraId="2F619D56" w14:textId="77777777">
        <w:trPr>
          <w:jc w:val="center"/>
        </w:trPr>
        <w:tc>
          <w:tcPr>
            <w:tcW w:w="3387" w:type="dxa"/>
            <w:tcBorders>
              <w:top w:val="single" w:sz="6" w:space="0" w:color="00000A"/>
            </w:tcBorders>
            <w:shd w:val="clear" w:color="auto" w:fill="auto"/>
          </w:tcPr>
          <w:p w14:paraId="253A66F1" w14:textId="77777777" w:rsidR="00F405BC" w:rsidRPr="00F26EF7" w:rsidRDefault="00F405BC">
            <w:pPr>
              <w:widowControl w:val="0"/>
              <w:spacing w:after="0" w:line="240" w:lineRule="auto"/>
              <w:rPr>
                <w:rFonts w:cs="Times New Roman"/>
                <w:sz w:val="24"/>
                <w:szCs w:val="24"/>
                <w:lang w:val="en-US"/>
              </w:rPr>
            </w:pPr>
          </w:p>
          <w:p w14:paraId="4C8BE46C" w14:textId="77777777" w:rsidR="00F405BC" w:rsidRPr="00F26EF7" w:rsidRDefault="00F405BC">
            <w:pPr>
              <w:widowControl w:val="0"/>
              <w:spacing w:after="0" w:line="240" w:lineRule="auto"/>
              <w:rPr>
                <w:rFonts w:cs="Times New Roman"/>
                <w:sz w:val="24"/>
                <w:szCs w:val="24"/>
                <w:lang w:val="en-US"/>
              </w:rPr>
            </w:pPr>
          </w:p>
        </w:tc>
        <w:tc>
          <w:tcPr>
            <w:tcW w:w="3024" w:type="dxa"/>
            <w:gridSpan w:val="2"/>
            <w:tcBorders>
              <w:top w:val="single" w:sz="6" w:space="0" w:color="00000A"/>
            </w:tcBorders>
            <w:shd w:val="clear" w:color="auto" w:fill="auto"/>
          </w:tcPr>
          <w:p w14:paraId="2DC6D7E8"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 xml:space="preserve">Protest </w:t>
            </w:r>
          </w:p>
        </w:tc>
        <w:tc>
          <w:tcPr>
            <w:tcW w:w="3024" w:type="dxa"/>
            <w:gridSpan w:val="2"/>
            <w:tcBorders>
              <w:top w:val="single" w:sz="6" w:space="0" w:color="00000A"/>
            </w:tcBorders>
            <w:shd w:val="clear" w:color="auto" w:fill="auto"/>
          </w:tcPr>
          <w:p w14:paraId="40559C7F"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 xml:space="preserve">Violence </w:t>
            </w:r>
          </w:p>
        </w:tc>
      </w:tr>
      <w:tr w:rsidR="00F405BC" w:rsidRPr="00F26EF7" w14:paraId="1A34E553" w14:textId="77777777">
        <w:trPr>
          <w:jc w:val="center"/>
        </w:trPr>
        <w:tc>
          <w:tcPr>
            <w:tcW w:w="3387" w:type="dxa"/>
            <w:tcBorders>
              <w:top w:val="single" w:sz="6" w:space="0" w:color="00000A"/>
              <w:bottom w:val="single" w:sz="6" w:space="0" w:color="00000A"/>
            </w:tcBorders>
            <w:shd w:val="clear" w:color="auto" w:fill="auto"/>
          </w:tcPr>
          <w:p w14:paraId="4EDDC6FB" w14:textId="77777777" w:rsidR="00F405BC" w:rsidRPr="00F26EF7" w:rsidRDefault="00D4646A">
            <w:pPr>
              <w:widowControl w:val="0"/>
              <w:spacing w:after="0" w:line="240" w:lineRule="auto"/>
              <w:rPr>
                <w:rFonts w:cs="Times New Roman"/>
                <w:sz w:val="24"/>
                <w:szCs w:val="24"/>
                <w:lang w:val="en-US"/>
              </w:rPr>
            </w:pPr>
            <w:r w:rsidRPr="00F26EF7">
              <w:rPr>
                <w:rFonts w:cs="Times New Roman"/>
                <w:sz w:val="24"/>
                <w:szCs w:val="24"/>
                <w:lang w:val="en-US"/>
              </w:rPr>
              <w:t>VARIABLES</w:t>
            </w:r>
          </w:p>
        </w:tc>
        <w:tc>
          <w:tcPr>
            <w:tcW w:w="1439" w:type="dxa"/>
            <w:tcBorders>
              <w:top w:val="single" w:sz="6" w:space="0" w:color="00000A"/>
              <w:bottom w:val="single" w:sz="6" w:space="0" w:color="00000A"/>
            </w:tcBorders>
            <w:shd w:val="clear" w:color="auto" w:fill="auto"/>
          </w:tcPr>
          <w:p w14:paraId="2D2763C0"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Onset</w:t>
            </w:r>
          </w:p>
        </w:tc>
        <w:tc>
          <w:tcPr>
            <w:tcW w:w="1585" w:type="dxa"/>
            <w:tcBorders>
              <w:top w:val="single" w:sz="6" w:space="0" w:color="00000A"/>
              <w:bottom w:val="single" w:sz="6" w:space="0" w:color="00000A"/>
            </w:tcBorders>
            <w:shd w:val="clear" w:color="auto" w:fill="auto"/>
          </w:tcPr>
          <w:p w14:paraId="5B2A8B0C"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IMF program</w:t>
            </w:r>
          </w:p>
        </w:tc>
        <w:tc>
          <w:tcPr>
            <w:tcW w:w="1438" w:type="dxa"/>
            <w:tcBorders>
              <w:top w:val="single" w:sz="6" w:space="0" w:color="00000A"/>
              <w:bottom w:val="single" w:sz="6" w:space="0" w:color="00000A"/>
            </w:tcBorders>
            <w:shd w:val="clear" w:color="auto" w:fill="auto"/>
          </w:tcPr>
          <w:p w14:paraId="0A254472"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Onset</w:t>
            </w:r>
          </w:p>
        </w:tc>
        <w:tc>
          <w:tcPr>
            <w:tcW w:w="1586" w:type="dxa"/>
            <w:tcBorders>
              <w:top w:val="single" w:sz="6" w:space="0" w:color="00000A"/>
              <w:bottom w:val="single" w:sz="6" w:space="0" w:color="00000A"/>
            </w:tcBorders>
            <w:shd w:val="clear" w:color="auto" w:fill="auto"/>
          </w:tcPr>
          <w:p w14:paraId="52BF9145"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IMF program</w:t>
            </w:r>
          </w:p>
        </w:tc>
      </w:tr>
      <w:tr w:rsidR="00F405BC" w:rsidRPr="00F26EF7" w14:paraId="71D78331" w14:textId="77777777">
        <w:trPr>
          <w:jc w:val="center"/>
        </w:trPr>
        <w:tc>
          <w:tcPr>
            <w:tcW w:w="3387" w:type="dxa"/>
            <w:shd w:val="clear" w:color="auto" w:fill="auto"/>
          </w:tcPr>
          <w:p w14:paraId="7A4E7226" w14:textId="77777777" w:rsidR="00F405BC" w:rsidRPr="00F26EF7" w:rsidRDefault="00F405BC">
            <w:pPr>
              <w:widowControl w:val="0"/>
              <w:spacing w:after="0" w:line="240" w:lineRule="auto"/>
              <w:rPr>
                <w:rFonts w:cs="Times New Roman"/>
                <w:sz w:val="24"/>
                <w:szCs w:val="24"/>
                <w:lang w:val="en-US"/>
              </w:rPr>
            </w:pPr>
          </w:p>
        </w:tc>
        <w:tc>
          <w:tcPr>
            <w:tcW w:w="1439" w:type="dxa"/>
            <w:shd w:val="clear" w:color="auto" w:fill="auto"/>
          </w:tcPr>
          <w:p w14:paraId="2E7E0335" w14:textId="77777777" w:rsidR="00F405BC" w:rsidRPr="00F26EF7" w:rsidRDefault="00F405BC">
            <w:pPr>
              <w:widowControl w:val="0"/>
              <w:spacing w:after="0" w:line="240" w:lineRule="auto"/>
              <w:jc w:val="center"/>
              <w:rPr>
                <w:rFonts w:cs="Times New Roman"/>
                <w:sz w:val="24"/>
                <w:szCs w:val="24"/>
                <w:lang w:val="en-US"/>
              </w:rPr>
            </w:pPr>
          </w:p>
        </w:tc>
        <w:tc>
          <w:tcPr>
            <w:tcW w:w="1585" w:type="dxa"/>
            <w:shd w:val="clear" w:color="auto" w:fill="auto"/>
          </w:tcPr>
          <w:p w14:paraId="334DD535" w14:textId="77777777" w:rsidR="00F405BC" w:rsidRPr="00F26EF7" w:rsidRDefault="00F405BC">
            <w:pPr>
              <w:widowControl w:val="0"/>
              <w:spacing w:after="0" w:line="240" w:lineRule="auto"/>
              <w:jc w:val="center"/>
              <w:rPr>
                <w:rFonts w:cs="Times New Roman"/>
                <w:sz w:val="24"/>
                <w:szCs w:val="24"/>
                <w:lang w:val="en-US"/>
              </w:rPr>
            </w:pPr>
          </w:p>
        </w:tc>
        <w:tc>
          <w:tcPr>
            <w:tcW w:w="1438" w:type="dxa"/>
            <w:shd w:val="clear" w:color="auto" w:fill="auto"/>
          </w:tcPr>
          <w:p w14:paraId="4BF91AA2" w14:textId="77777777" w:rsidR="00F405BC" w:rsidRPr="00F26EF7" w:rsidRDefault="00F405BC">
            <w:pPr>
              <w:widowControl w:val="0"/>
              <w:spacing w:after="0" w:line="240" w:lineRule="auto"/>
              <w:jc w:val="center"/>
              <w:rPr>
                <w:rFonts w:cs="Times New Roman"/>
                <w:sz w:val="24"/>
                <w:szCs w:val="24"/>
                <w:lang w:val="en-US"/>
              </w:rPr>
            </w:pPr>
          </w:p>
        </w:tc>
        <w:tc>
          <w:tcPr>
            <w:tcW w:w="1586" w:type="dxa"/>
            <w:shd w:val="clear" w:color="auto" w:fill="auto"/>
          </w:tcPr>
          <w:p w14:paraId="2E7FA486" w14:textId="77777777" w:rsidR="00F405BC" w:rsidRPr="00F26EF7" w:rsidRDefault="00F405BC">
            <w:pPr>
              <w:widowControl w:val="0"/>
              <w:spacing w:after="0" w:line="240" w:lineRule="auto"/>
              <w:jc w:val="center"/>
              <w:rPr>
                <w:rFonts w:cs="Times New Roman"/>
                <w:sz w:val="24"/>
                <w:szCs w:val="24"/>
                <w:lang w:val="en-US"/>
              </w:rPr>
            </w:pPr>
          </w:p>
        </w:tc>
      </w:tr>
      <w:tr w:rsidR="00BB1114" w:rsidRPr="00F26EF7" w14:paraId="0CABC046" w14:textId="77777777">
        <w:trPr>
          <w:jc w:val="center"/>
        </w:trPr>
        <w:tc>
          <w:tcPr>
            <w:tcW w:w="3387" w:type="dxa"/>
            <w:shd w:val="clear" w:color="auto" w:fill="auto"/>
          </w:tcPr>
          <w:p w14:paraId="73D0D8D2" w14:textId="77777777" w:rsidR="00BB1114" w:rsidRPr="00F26EF7" w:rsidRDefault="00BB1114">
            <w:pPr>
              <w:widowControl w:val="0"/>
              <w:spacing w:after="0" w:line="240" w:lineRule="auto"/>
              <w:rPr>
                <w:rFonts w:cs="Times New Roman"/>
                <w:sz w:val="24"/>
                <w:szCs w:val="24"/>
                <w:lang w:val="en-US"/>
              </w:rPr>
            </w:pPr>
            <w:r w:rsidRPr="00F26EF7">
              <w:rPr>
                <w:rFonts w:cs="Times New Roman"/>
                <w:sz w:val="24"/>
                <w:szCs w:val="24"/>
                <w:lang w:val="en-US"/>
              </w:rPr>
              <w:t>IMF program</w:t>
            </w:r>
          </w:p>
        </w:tc>
        <w:tc>
          <w:tcPr>
            <w:tcW w:w="1439" w:type="dxa"/>
            <w:shd w:val="clear" w:color="auto" w:fill="auto"/>
          </w:tcPr>
          <w:p w14:paraId="2E1AF164" w14:textId="7B0584DE"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-1.276***</w:t>
            </w:r>
          </w:p>
        </w:tc>
        <w:tc>
          <w:tcPr>
            <w:tcW w:w="1585" w:type="dxa"/>
            <w:shd w:val="clear" w:color="auto" w:fill="auto"/>
          </w:tcPr>
          <w:p w14:paraId="5AAB61F8" w14:textId="77777777" w:rsidR="00BB1114" w:rsidRPr="00F26EF7" w:rsidRDefault="00BB1114">
            <w:pPr>
              <w:widowControl w:val="0"/>
              <w:spacing w:after="0" w:line="240" w:lineRule="auto"/>
              <w:jc w:val="center"/>
              <w:rPr>
                <w:rFonts w:cs="Times New Roman"/>
                <w:sz w:val="24"/>
                <w:szCs w:val="24"/>
                <w:lang w:val="en-US"/>
              </w:rPr>
            </w:pPr>
          </w:p>
        </w:tc>
        <w:tc>
          <w:tcPr>
            <w:tcW w:w="1438" w:type="dxa"/>
            <w:shd w:val="clear" w:color="auto" w:fill="auto"/>
          </w:tcPr>
          <w:p w14:paraId="7BDA3C5C" w14:textId="7D6C1DEF"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-0.320*</w:t>
            </w:r>
          </w:p>
        </w:tc>
        <w:tc>
          <w:tcPr>
            <w:tcW w:w="1586" w:type="dxa"/>
            <w:shd w:val="clear" w:color="auto" w:fill="auto"/>
          </w:tcPr>
          <w:p w14:paraId="7E4A8A62" w14:textId="77777777" w:rsidR="00BB1114" w:rsidRPr="00F26EF7" w:rsidRDefault="00BB1114">
            <w:pPr>
              <w:widowControl w:val="0"/>
              <w:spacing w:after="0" w:line="240" w:lineRule="auto"/>
              <w:jc w:val="center"/>
              <w:rPr>
                <w:rFonts w:cs="Times New Roman"/>
                <w:sz w:val="24"/>
                <w:szCs w:val="24"/>
                <w:lang w:val="en-US"/>
              </w:rPr>
            </w:pPr>
          </w:p>
        </w:tc>
      </w:tr>
      <w:tr w:rsidR="00BB1114" w:rsidRPr="00F26EF7" w14:paraId="72868433" w14:textId="77777777">
        <w:trPr>
          <w:jc w:val="center"/>
        </w:trPr>
        <w:tc>
          <w:tcPr>
            <w:tcW w:w="3387" w:type="dxa"/>
            <w:shd w:val="clear" w:color="auto" w:fill="auto"/>
          </w:tcPr>
          <w:p w14:paraId="33FBFBD9" w14:textId="77777777" w:rsidR="00BB1114" w:rsidRPr="00F26EF7" w:rsidRDefault="00BB1114">
            <w:pPr>
              <w:widowControl w:val="0"/>
              <w:spacing w:after="0" w:line="240" w:lineRule="auto"/>
              <w:rPr>
                <w:rFonts w:cs="Times New Roman"/>
                <w:sz w:val="24"/>
                <w:szCs w:val="24"/>
                <w:lang w:val="en-US"/>
              </w:rPr>
            </w:pPr>
          </w:p>
        </w:tc>
        <w:tc>
          <w:tcPr>
            <w:tcW w:w="1439" w:type="dxa"/>
            <w:shd w:val="clear" w:color="auto" w:fill="auto"/>
          </w:tcPr>
          <w:p w14:paraId="64F97312" w14:textId="7F752E02"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(0.10)</w:t>
            </w:r>
          </w:p>
        </w:tc>
        <w:tc>
          <w:tcPr>
            <w:tcW w:w="1585" w:type="dxa"/>
            <w:shd w:val="clear" w:color="auto" w:fill="auto"/>
          </w:tcPr>
          <w:p w14:paraId="50C05F11" w14:textId="77777777" w:rsidR="00BB1114" w:rsidRPr="00F26EF7" w:rsidRDefault="00BB1114">
            <w:pPr>
              <w:widowControl w:val="0"/>
              <w:spacing w:after="0" w:line="240" w:lineRule="auto"/>
              <w:jc w:val="center"/>
              <w:rPr>
                <w:rFonts w:cs="Times New Roman"/>
                <w:sz w:val="24"/>
                <w:szCs w:val="24"/>
                <w:lang w:val="en-US"/>
              </w:rPr>
            </w:pPr>
          </w:p>
        </w:tc>
        <w:tc>
          <w:tcPr>
            <w:tcW w:w="1438" w:type="dxa"/>
            <w:shd w:val="clear" w:color="auto" w:fill="auto"/>
          </w:tcPr>
          <w:p w14:paraId="7F0BEDBB" w14:textId="27ABA0D8"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(0.19)</w:t>
            </w:r>
          </w:p>
        </w:tc>
        <w:tc>
          <w:tcPr>
            <w:tcW w:w="1586" w:type="dxa"/>
            <w:shd w:val="clear" w:color="auto" w:fill="auto"/>
          </w:tcPr>
          <w:p w14:paraId="07AC27FB" w14:textId="77777777" w:rsidR="00BB1114" w:rsidRPr="00F26EF7" w:rsidRDefault="00BB1114">
            <w:pPr>
              <w:widowControl w:val="0"/>
              <w:spacing w:after="0" w:line="240" w:lineRule="auto"/>
              <w:jc w:val="center"/>
              <w:rPr>
                <w:rFonts w:cs="Times New Roman"/>
                <w:sz w:val="24"/>
                <w:szCs w:val="24"/>
                <w:lang w:val="en-US"/>
              </w:rPr>
            </w:pPr>
          </w:p>
        </w:tc>
      </w:tr>
      <w:tr w:rsidR="00BB1114" w:rsidRPr="00F26EF7" w14:paraId="597BDD3A" w14:textId="77777777">
        <w:trPr>
          <w:jc w:val="center"/>
        </w:trPr>
        <w:tc>
          <w:tcPr>
            <w:tcW w:w="3387" w:type="dxa"/>
            <w:shd w:val="clear" w:color="auto" w:fill="auto"/>
          </w:tcPr>
          <w:p w14:paraId="2D8A8553" w14:textId="63CD0A01" w:rsidR="00BB1114" w:rsidRPr="00F26EF7" w:rsidRDefault="00BB1114">
            <w:pPr>
              <w:widowControl w:val="0"/>
              <w:spacing w:after="0" w:line="240" w:lineRule="auto"/>
              <w:rPr>
                <w:rFonts w:cs="Times New Roman"/>
                <w:sz w:val="24"/>
                <w:szCs w:val="24"/>
                <w:lang w:val="en-US"/>
              </w:rPr>
            </w:pPr>
            <w:r w:rsidRPr="00F26EF7">
              <w:rPr>
                <w:rFonts w:cs="Times New Roman"/>
                <w:sz w:val="24"/>
                <w:szCs w:val="24"/>
                <w:lang w:val="en-US"/>
              </w:rPr>
              <w:t>Any crisis</w:t>
            </w:r>
            <w:r w:rsidR="000157C7" w:rsidRPr="00F26EF7">
              <w:rPr>
                <w:rFonts w:cs="Times New Roman"/>
                <w:sz w:val="24"/>
                <w:szCs w:val="24"/>
                <w:lang w:val="en-US"/>
              </w:rPr>
              <w:t xml:space="preserve"> (lagged)</w:t>
            </w:r>
          </w:p>
        </w:tc>
        <w:tc>
          <w:tcPr>
            <w:tcW w:w="1439" w:type="dxa"/>
            <w:shd w:val="clear" w:color="auto" w:fill="auto"/>
          </w:tcPr>
          <w:p w14:paraId="3629911A" w14:textId="51F6429B"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0.205***</w:t>
            </w:r>
          </w:p>
        </w:tc>
        <w:tc>
          <w:tcPr>
            <w:tcW w:w="1585" w:type="dxa"/>
            <w:shd w:val="clear" w:color="auto" w:fill="auto"/>
          </w:tcPr>
          <w:p w14:paraId="73B06503" w14:textId="37E388DE"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0.098</w:t>
            </w:r>
          </w:p>
        </w:tc>
        <w:tc>
          <w:tcPr>
            <w:tcW w:w="1438" w:type="dxa"/>
            <w:shd w:val="clear" w:color="auto" w:fill="auto"/>
          </w:tcPr>
          <w:p w14:paraId="51202ABC" w14:textId="6B40C5AC"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-0.068</w:t>
            </w:r>
          </w:p>
        </w:tc>
        <w:tc>
          <w:tcPr>
            <w:tcW w:w="1586" w:type="dxa"/>
            <w:shd w:val="clear" w:color="auto" w:fill="auto"/>
          </w:tcPr>
          <w:p w14:paraId="5A1457DF" w14:textId="3871B4C7"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0.259***</w:t>
            </w:r>
          </w:p>
        </w:tc>
      </w:tr>
      <w:tr w:rsidR="00BB1114" w:rsidRPr="00F26EF7" w14:paraId="45D15F9C" w14:textId="77777777">
        <w:trPr>
          <w:jc w:val="center"/>
        </w:trPr>
        <w:tc>
          <w:tcPr>
            <w:tcW w:w="3387" w:type="dxa"/>
            <w:shd w:val="clear" w:color="auto" w:fill="auto"/>
          </w:tcPr>
          <w:p w14:paraId="7FE2E464" w14:textId="77777777" w:rsidR="00BB1114" w:rsidRPr="00F26EF7" w:rsidRDefault="00BB1114">
            <w:pPr>
              <w:widowControl w:val="0"/>
              <w:spacing w:after="0" w:line="240" w:lineRule="auto"/>
              <w:rPr>
                <w:rFonts w:cs="Times New Roman"/>
                <w:sz w:val="24"/>
                <w:szCs w:val="24"/>
                <w:lang w:val="en-US"/>
              </w:rPr>
            </w:pPr>
          </w:p>
        </w:tc>
        <w:tc>
          <w:tcPr>
            <w:tcW w:w="1439" w:type="dxa"/>
            <w:shd w:val="clear" w:color="auto" w:fill="auto"/>
          </w:tcPr>
          <w:p w14:paraId="3E60C6DD" w14:textId="2714CA16"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(0.07)</w:t>
            </w:r>
          </w:p>
        </w:tc>
        <w:tc>
          <w:tcPr>
            <w:tcW w:w="1585" w:type="dxa"/>
            <w:shd w:val="clear" w:color="auto" w:fill="auto"/>
          </w:tcPr>
          <w:p w14:paraId="21B9F3EA" w14:textId="10D22C86"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(0.09)</w:t>
            </w:r>
          </w:p>
        </w:tc>
        <w:tc>
          <w:tcPr>
            <w:tcW w:w="1438" w:type="dxa"/>
            <w:shd w:val="clear" w:color="auto" w:fill="auto"/>
          </w:tcPr>
          <w:p w14:paraId="75CF137F" w14:textId="5B39BD12"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(0.12)</w:t>
            </w:r>
          </w:p>
        </w:tc>
        <w:tc>
          <w:tcPr>
            <w:tcW w:w="1586" w:type="dxa"/>
            <w:shd w:val="clear" w:color="auto" w:fill="auto"/>
          </w:tcPr>
          <w:p w14:paraId="242BF7E2" w14:textId="02FD1530"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(0.06)</w:t>
            </w:r>
          </w:p>
        </w:tc>
      </w:tr>
      <w:tr w:rsidR="00BB1114" w:rsidRPr="00F26EF7" w14:paraId="62F669EE" w14:textId="77777777">
        <w:trPr>
          <w:jc w:val="center"/>
        </w:trPr>
        <w:tc>
          <w:tcPr>
            <w:tcW w:w="3387" w:type="dxa"/>
            <w:shd w:val="clear" w:color="auto" w:fill="auto"/>
          </w:tcPr>
          <w:p w14:paraId="0C4DBA98" w14:textId="77777777" w:rsidR="00BB1114" w:rsidRPr="00F26EF7" w:rsidRDefault="00BB1114">
            <w:pPr>
              <w:widowControl w:val="0"/>
              <w:spacing w:after="0" w:line="240" w:lineRule="auto"/>
              <w:rPr>
                <w:rFonts w:cs="Times New Roman"/>
                <w:sz w:val="24"/>
                <w:szCs w:val="24"/>
                <w:lang w:val="en-US"/>
              </w:rPr>
            </w:pPr>
            <w:r w:rsidRPr="00F26EF7">
              <w:rPr>
                <w:rFonts w:cs="Times New Roman"/>
                <w:sz w:val="24"/>
                <w:szCs w:val="24"/>
                <w:lang w:val="en-US"/>
              </w:rPr>
              <w:t>Years w/o protest</w:t>
            </w:r>
          </w:p>
        </w:tc>
        <w:tc>
          <w:tcPr>
            <w:tcW w:w="1439" w:type="dxa"/>
            <w:shd w:val="clear" w:color="auto" w:fill="auto"/>
          </w:tcPr>
          <w:p w14:paraId="1CFC014F" w14:textId="08C9F195"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-0.111***</w:t>
            </w:r>
          </w:p>
        </w:tc>
        <w:tc>
          <w:tcPr>
            <w:tcW w:w="1585" w:type="dxa"/>
            <w:shd w:val="clear" w:color="auto" w:fill="auto"/>
          </w:tcPr>
          <w:p w14:paraId="0ACAEDFF" w14:textId="795F6D94"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-0.039***</w:t>
            </w:r>
          </w:p>
        </w:tc>
        <w:tc>
          <w:tcPr>
            <w:tcW w:w="1438" w:type="dxa"/>
            <w:shd w:val="clear" w:color="auto" w:fill="auto"/>
          </w:tcPr>
          <w:p w14:paraId="26190F41" w14:textId="77777777" w:rsidR="00BB1114" w:rsidRPr="00F26EF7" w:rsidRDefault="00BB1114">
            <w:pPr>
              <w:widowControl w:val="0"/>
              <w:spacing w:after="0" w:line="240" w:lineRule="auto"/>
              <w:jc w:val="center"/>
              <w:rPr>
                <w:rFonts w:cs="Times New Roman"/>
                <w:sz w:val="24"/>
                <w:szCs w:val="24"/>
                <w:lang w:val="en-US"/>
              </w:rPr>
            </w:pPr>
          </w:p>
        </w:tc>
        <w:tc>
          <w:tcPr>
            <w:tcW w:w="1586" w:type="dxa"/>
            <w:shd w:val="clear" w:color="auto" w:fill="auto"/>
          </w:tcPr>
          <w:p w14:paraId="2A6AEC42" w14:textId="77777777" w:rsidR="00BB1114" w:rsidRPr="00F26EF7" w:rsidRDefault="00BB1114">
            <w:pPr>
              <w:widowControl w:val="0"/>
              <w:spacing w:after="0" w:line="240" w:lineRule="auto"/>
              <w:jc w:val="center"/>
              <w:rPr>
                <w:rFonts w:cs="Times New Roman"/>
                <w:sz w:val="24"/>
                <w:szCs w:val="24"/>
                <w:lang w:val="en-US"/>
              </w:rPr>
            </w:pPr>
          </w:p>
        </w:tc>
      </w:tr>
      <w:tr w:rsidR="00BB1114" w:rsidRPr="00F26EF7" w14:paraId="01449CEA" w14:textId="77777777">
        <w:trPr>
          <w:jc w:val="center"/>
        </w:trPr>
        <w:tc>
          <w:tcPr>
            <w:tcW w:w="3387" w:type="dxa"/>
            <w:shd w:val="clear" w:color="auto" w:fill="auto"/>
          </w:tcPr>
          <w:p w14:paraId="224AB404" w14:textId="77777777" w:rsidR="00BB1114" w:rsidRPr="00F26EF7" w:rsidRDefault="00BB1114">
            <w:pPr>
              <w:widowControl w:val="0"/>
              <w:spacing w:after="0" w:line="240" w:lineRule="auto"/>
              <w:rPr>
                <w:rFonts w:cs="Times New Roman"/>
                <w:sz w:val="24"/>
                <w:szCs w:val="24"/>
                <w:lang w:val="en-US"/>
              </w:rPr>
            </w:pPr>
          </w:p>
        </w:tc>
        <w:tc>
          <w:tcPr>
            <w:tcW w:w="1439" w:type="dxa"/>
            <w:shd w:val="clear" w:color="auto" w:fill="auto"/>
          </w:tcPr>
          <w:p w14:paraId="26E8CE27" w14:textId="3EAE90A4"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(0.01)</w:t>
            </w:r>
          </w:p>
        </w:tc>
        <w:tc>
          <w:tcPr>
            <w:tcW w:w="1585" w:type="dxa"/>
            <w:shd w:val="clear" w:color="auto" w:fill="auto"/>
          </w:tcPr>
          <w:p w14:paraId="4C3979B2" w14:textId="09CA4B82"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(0.01)</w:t>
            </w:r>
          </w:p>
        </w:tc>
        <w:tc>
          <w:tcPr>
            <w:tcW w:w="1438" w:type="dxa"/>
            <w:shd w:val="clear" w:color="auto" w:fill="auto"/>
          </w:tcPr>
          <w:p w14:paraId="53FE7F19" w14:textId="77777777" w:rsidR="00BB1114" w:rsidRPr="00F26EF7" w:rsidRDefault="00BB1114">
            <w:pPr>
              <w:widowControl w:val="0"/>
              <w:spacing w:after="0" w:line="240" w:lineRule="auto"/>
              <w:jc w:val="center"/>
              <w:rPr>
                <w:rFonts w:cs="Times New Roman"/>
                <w:sz w:val="24"/>
                <w:szCs w:val="24"/>
                <w:lang w:val="en-US"/>
              </w:rPr>
            </w:pPr>
          </w:p>
        </w:tc>
        <w:tc>
          <w:tcPr>
            <w:tcW w:w="1586" w:type="dxa"/>
            <w:shd w:val="clear" w:color="auto" w:fill="auto"/>
          </w:tcPr>
          <w:p w14:paraId="655ECF53" w14:textId="77777777" w:rsidR="00BB1114" w:rsidRPr="00F26EF7" w:rsidRDefault="00BB1114">
            <w:pPr>
              <w:widowControl w:val="0"/>
              <w:spacing w:after="0" w:line="240" w:lineRule="auto"/>
              <w:jc w:val="center"/>
              <w:rPr>
                <w:rFonts w:cs="Times New Roman"/>
                <w:sz w:val="24"/>
                <w:szCs w:val="24"/>
                <w:lang w:val="en-US"/>
              </w:rPr>
            </w:pPr>
          </w:p>
        </w:tc>
      </w:tr>
      <w:tr w:rsidR="00BB1114" w:rsidRPr="00F26EF7" w14:paraId="122B4DE0" w14:textId="77777777">
        <w:trPr>
          <w:jc w:val="center"/>
        </w:trPr>
        <w:tc>
          <w:tcPr>
            <w:tcW w:w="3387" w:type="dxa"/>
            <w:shd w:val="clear" w:color="auto" w:fill="auto"/>
          </w:tcPr>
          <w:p w14:paraId="404476DA" w14:textId="77777777" w:rsidR="00BB1114" w:rsidRPr="00F26EF7" w:rsidRDefault="00BB1114">
            <w:pPr>
              <w:widowControl w:val="0"/>
              <w:spacing w:after="0" w:line="240" w:lineRule="auto"/>
              <w:rPr>
                <w:rFonts w:cs="Times New Roman"/>
                <w:sz w:val="24"/>
                <w:szCs w:val="24"/>
                <w:lang w:val="en-US"/>
              </w:rPr>
            </w:pPr>
            <w:r w:rsidRPr="00F26EF7">
              <w:rPr>
                <w:rFonts w:cs="Times New Roman"/>
                <w:sz w:val="24"/>
                <w:szCs w:val="24"/>
                <w:lang w:val="en-US"/>
              </w:rPr>
              <w:t>Years w/o protest^2</w:t>
            </w:r>
          </w:p>
        </w:tc>
        <w:tc>
          <w:tcPr>
            <w:tcW w:w="1439" w:type="dxa"/>
            <w:shd w:val="clear" w:color="auto" w:fill="auto"/>
          </w:tcPr>
          <w:p w14:paraId="1D906BBB" w14:textId="3BEBB809"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0.003***</w:t>
            </w:r>
          </w:p>
        </w:tc>
        <w:tc>
          <w:tcPr>
            <w:tcW w:w="1585" w:type="dxa"/>
            <w:shd w:val="clear" w:color="auto" w:fill="auto"/>
          </w:tcPr>
          <w:p w14:paraId="48819E67" w14:textId="65B422F9"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0.001</w:t>
            </w:r>
          </w:p>
        </w:tc>
        <w:tc>
          <w:tcPr>
            <w:tcW w:w="1438" w:type="dxa"/>
            <w:shd w:val="clear" w:color="auto" w:fill="auto"/>
          </w:tcPr>
          <w:p w14:paraId="2FA6BB79" w14:textId="77777777" w:rsidR="00BB1114" w:rsidRPr="00F26EF7" w:rsidRDefault="00BB1114">
            <w:pPr>
              <w:widowControl w:val="0"/>
              <w:spacing w:after="0" w:line="240" w:lineRule="auto"/>
              <w:jc w:val="center"/>
              <w:rPr>
                <w:rFonts w:cs="Times New Roman"/>
                <w:sz w:val="24"/>
                <w:szCs w:val="24"/>
                <w:lang w:val="en-US"/>
              </w:rPr>
            </w:pPr>
          </w:p>
        </w:tc>
        <w:tc>
          <w:tcPr>
            <w:tcW w:w="1586" w:type="dxa"/>
            <w:shd w:val="clear" w:color="auto" w:fill="auto"/>
          </w:tcPr>
          <w:p w14:paraId="2A72D392" w14:textId="77777777" w:rsidR="00BB1114" w:rsidRPr="00F26EF7" w:rsidRDefault="00BB1114">
            <w:pPr>
              <w:widowControl w:val="0"/>
              <w:spacing w:after="0" w:line="240" w:lineRule="auto"/>
              <w:jc w:val="center"/>
              <w:rPr>
                <w:rFonts w:cs="Times New Roman"/>
                <w:sz w:val="24"/>
                <w:szCs w:val="24"/>
                <w:lang w:val="en-US"/>
              </w:rPr>
            </w:pPr>
          </w:p>
        </w:tc>
      </w:tr>
      <w:tr w:rsidR="00BB1114" w:rsidRPr="00F26EF7" w14:paraId="78D6FDFA" w14:textId="77777777">
        <w:trPr>
          <w:jc w:val="center"/>
        </w:trPr>
        <w:tc>
          <w:tcPr>
            <w:tcW w:w="3387" w:type="dxa"/>
            <w:shd w:val="clear" w:color="auto" w:fill="auto"/>
          </w:tcPr>
          <w:p w14:paraId="225748F1" w14:textId="77777777" w:rsidR="00BB1114" w:rsidRPr="00F26EF7" w:rsidRDefault="00BB1114">
            <w:pPr>
              <w:widowControl w:val="0"/>
              <w:spacing w:after="0" w:line="240" w:lineRule="auto"/>
              <w:rPr>
                <w:rFonts w:cs="Times New Roman"/>
                <w:sz w:val="24"/>
                <w:szCs w:val="24"/>
                <w:lang w:val="en-US"/>
              </w:rPr>
            </w:pPr>
          </w:p>
        </w:tc>
        <w:tc>
          <w:tcPr>
            <w:tcW w:w="1439" w:type="dxa"/>
            <w:shd w:val="clear" w:color="auto" w:fill="auto"/>
          </w:tcPr>
          <w:p w14:paraId="099612BB" w14:textId="24A302F2"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w:t>
            </w:r>
          </w:p>
        </w:tc>
        <w:tc>
          <w:tcPr>
            <w:tcW w:w="1585" w:type="dxa"/>
            <w:shd w:val="clear" w:color="auto" w:fill="auto"/>
          </w:tcPr>
          <w:p w14:paraId="5D5946DB" w14:textId="5F308B05"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w:t>
            </w:r>
          </w:p>
        </w:tc>
        <w:tc>
          <w:tcPr>
            <w:tcW w:w="1438" w:type="dxa"/>
            <w:shd w:val="clear" w:color="auto" w:fill="auto"/>
          </w:tcPr>
          <w:p w14:paraId="45001EDE" w14:textId="77777777" w:rsidR="00BB1114" w:rsidRPr="00F26EF7" w:rsidRDefault="00BB1114">
            <w:pPr>
              <w:widowControl w:val="0"/>
              <w:spacing w:after="0" w:line="240" w:lineRule="auto"/>
              <w:jc w:val="center"/>
              <w:rPr>
                <w:rFonts w:cs="Times New Roman"/>
                <w:sz w:val="24"/>
                <w:szCs w:val="24"/>
                <w:lang w:val="en-US"/>
              </w:rPr>
            </w:pPr>
          </w:p>
        </w:tc>
        <w:tc>
          <w:tcPr>
            <w:tcW w:w="1586" w:type="dxa"/>
            <w:shd w:val="clear" w:color="auto" w:fill="auto"/>
          </w:tcPr>
          <w:p w14:paraId="30AD0649" w14:textId="77777777" w:rsidR="00BB1114" w:rsidRPr="00F26EF7" w:rsidRDefault="00BB1114">
            <w:pPr>
              <w:widowControl w:val="0"/>
              <w:spacing w:after="0" w:line="240" w:lineRule="auto"/>
              <w:jc w:val="center"/>
              <w:rPr>
                <w:rFonts w:cs="Times New Roman"/>
                <w:sz w:val="24"/>
                <w:szCs w:val="24"/>
                <w:lang w:val="en-US"/>
              </w:rPr>
            </w:pPr>
          </w:p>
        </w:tc>
      </w:tr>
      <w:tr w:rsidR="00BB1114" w:rsidRPr="00F26EF7" w14:paraId="13697C77" w14:textId="77777777">
        <w:trPr>
          <w:jc w:val="center"/>
        </w:trPr>
        <w:tc>
          <w:tcPr>
            <w:tcW w:w="3387" w:type="dxa"/>
            <w:shd w:val="clear" w:color="auto" w:fill="auto"/>
          </w:tcPr>
          <w:p w14:paraId="6ADA4964" w14:textId="77777777" w:rsidR="00BB1114" w:rsidRPr="00F26EF7" w:rsidRDefault="00BB1114">
            <w:pPr>
              <w:widowControl w:val="0"/>
              <w:spacing w:after="0" w:line="240" w:lineRule="auto"/>
              <w:rPr>
                <w:rFonts w:cs="Times New Roman"/>
                <w:sz w:val="24"/>
                <w:szCs w:val="24"/>
                <w:lang w:val="en-US"/>
              </w:rPr>
            </w:pPr>
            <w:r w:rsidRPr="00F26EF7">
              <w:rPr>
                <w:rFonts w:cs="Times New Roman"/>
                <w:sz w:val="24"/>
                <w:szCs w:val="24"/>
                <w:lang w:val="en-US"/>
              </w:rPr>
              <w:t>Years w/o protest^3</w:t>
            </w:r>
          </w:p>
        </w:tc>
        <w:tc>
          <w:tcPr>
            <w:tcW w:w="1439" w:type="dxa"/>
            <w:shd w:val="clear" w:color="auto" w:fill="auto"/>
          </w:tcPr>
          <w:p w14:paraId="533E7EFB" w14:textId="3D4F0DC8"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-0.000***</w:t>
            </w:r>
          </w:p>
        </w:tc>
        <w:tc>
          <w:tcPr>
            <w:tcW w:w="1585" w:type="dxa"/>
            <w:shd w:val="clear" w:color="auto" w:fill="auto"/>
          </w:tcPr>
          <w:p w14:paraId="1F9A548D" w14:textId="051494E0"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-0.000</w:t>
            </w:r>
          </w:p>
        </w:tc>
        <w:tc>
          <w:tcPr>
            <w:tcW w:w="1438" w:type="dxa"/>
            <w:shd w:val="clear" w:color="auto" w:fill="auto"/>
          </w:tcPr>
          <w:p w14:paraId="7EAA783D" w14:textId="77777777" w:rsidR="00BB1114" w:rsidRPr="00F26EF7" w:rsidRDefault="00BB1114">
            <w:pPr>
              <w:widowControl w:val="0"/>
              <w:spacing w:after="0" w:line="240" w:lineRule="auto"/>
              <w:jc w:val="center"/>
              <w:rPr>
                <w:rFonts w:cs="Times New Roman"/>
                <w:sz w:val="24"/>
                <w:szCs w:val="24"/>
                <w:lang w:val="en-US"/>
              </w:rPr>
            </w:pPr>
          </w:p>
        </w:tc>
        <w:tc>
          <w:tcPr>
            <w:tcW w:w="1586" w:type="dxa"/>
            <w:shd w:val="clear" w:color="auto" w:fill="auto"/>
          </w:tcPr>
          <w:p w14:paraId="6CD3C640" w14:textId="77777777" w:rsidR="00BB1114" w:rsidRPr="00F26EF7" w:rsidRDefault="00BB1114">
            <w:pPr>
              <w:widowControl w:val="0"/>
              <w:spacing w:after="0" w:line="240" w:lineRule="auto"/>
              <w:jc w:val="center"/>
              <w:rPr>
                <w:rFonts w:cs="Times New Roman"/>
                <w:sz w:val="24"/>
                <w:szCs w:val="24"/>
                <w:lang w:val="en-US"/>
              </w:rPr>
            </w:pPr>
          </w:p>
        </w:tc>
      </w:tr>
      <w:tr w:rsidR="00BB1114" w:rsidRPr="00F26EF7" w14:paraId="297F80F2" w14:textId="77777777">
        <w:trPr>
          <w:jc w:val="center"/>
        </w:trPr>
        <w:tc>
          <w:tcPr>
            <w:tcW w:w="3387" w:type="dxa"/>
            <w:shd w:val="clear" w:color="auto" w:fill="auto"/>
          </w:tcPr>
          <w:p w14:paraId="50D89468" w14:textId="77777777" w:rsidR="00BB1114" w:rsidRPr="00F26EF7" w:rsidRDefault="00BB1114">
            <w:pPr>
              <w:widowControl w:val="0"/>
              <w:spacing w:after="0" w:line="240" w:lineRule="auto"/>
              <w:rPr>
                <w:rFonts w:cs="Times New Roman"/>
                <w:sz w:val="24"/>
                <w:szCs w:val="24"/>
                <w:lang w:val="en-US"/>
              </w:rPr>
            </w:pPr>
          </w:p>
        </w:tc>
        <w:tc>
          <w:tcPr>
            <w:tcW w:w="1439" w:type="dxa"/>
            <w:shd w:val="clear" w:color="auto" w:fill="auto"/>
          </w:tcPr>
          <w:p w14:paraId="1FC235F2" w14:textId="75383114"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w:t>
            </w:r>
          </w:p>
        </w:tc>
        <w:tc>
          <w:tcPr>
            <w:tcW w:w="1585" w:type="dxa"/>
            <w:shd w:val="clear" w:color="auto" w:fill="auto"/>
          </w:tcPr>
          <w:p w14:paraId="789C486C" w14:textId="6181B26B"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w:t>
            </w:r>
          </w:p>
        </w:tc>
        <w:tc>
          <w:tcPr>
            <w:tcW w:w="1438" w:type="dxa"/>
            <w:shd w:val="clear" w:color="auto" w:fill="auto"/>
          </w:tcPr>
          <w:p w14:paraId="1E934A54" w14:textId="77777777" w:rsidR="00BB1114" w:rsidRPr="00F26EF7" w:rsidRDefault="00BB1114">
            <w:pPr>
              <w:widowControl w:val="0"/>
              <w:spacing w:after="0" w:line="240" w:lineRule="auto"/>
              <w:jc w:val="center"/>
              <w:rPr>
                <w:rFonts w:cs="Times New Roman"/>
                <w:sz w:val="24"/>
                <w:szCs w:val="24"/>
                <w:lang w:val="en-US"/>
              </w:rPr>
            </w:pPr>
          </w:p>
        </w:tc>
        <w:tc>
          <w:tcPr>
            <w:tcW w:w="1586" w:type="dxa"/>
            <w:shd w:val="clear" w:color="auto" w:fill="auto"/>
          </w:tcPr>
          <w:p w14:paraId="13972BFF" w14:textId="77777777" w:rsidR="00BB1114" w:rsidRPr="00F26EF7" w:rsidRDefault="00BB1114">
            <w:pPr>
              <w:widowControl w:val="0"/>
              <w:spacing w:after="0" w:line="240" w:lineRule="auto"/>
              <w:jc w:val="center"/>
              <w:rPr>
                <w:rFonts w:cs="Times New Roman"/>
                <w:sz w:val="24"/>
                <w:szCs w:val="24"/>
                <w:lang w:val="en-US"/>
              </w:rPr>
            </w:pPr>
          </w:p>
        </w:tc>
      </w:tr>
      <w:tr w:rsidR="00BB1114" w:rsidRPr="00F26EF7" w14:paraId="37309522" w14:textId="77777777">
        <w:trPr>
          <w:jc w:val="center"/>
        </w:trPr>
        <w:tc>
          <w:tcPr>
            <w:tcW w:w="3387" w:type="dxa"/>
            <w:shd w:val="clear" w:color="auto" w:fill="auto"/>
          </w:tcPr>
          <w:p w14:paraId="1B829D4E" w14:textId="130F09D2" w:rsidR="00BB1114" w:rsidRPr="00F26EF7" w:rsidRDefault="00BB1114">
            <w:pPr>
              <w:widowControl w:val="0"/>
              <w:spacing w:after="0" w:line="240" w:lineRule="auto"/>
              <w:rPr>
                <w:rFonts w:cs="Times New Roman"/>
                <w:sz w:val="24"/>
                <w:szCs w:val="24"/>
                <w:lang w:val="en-US"/>
              </w:rPr>
            </w:pPr>
            <w:r w:rsidRPr="00F26EF7">
              <w:rPr>
                <w:rFonts w:cs="Times New Roman"/>
                <w:sz w:val="24"/>
                <w:szCs w:val="24"/>
                <w:lang w:val="en-US"/>
              </w:rPr>
              <w:t>CPI</w:t>
            </w:r>
            <w:r w:rsidR="000157C7" w:rsidRPr="00F26EF7">
              <w:rPr>
                <w:rFonts w:cs="Times New Roman"/>
                <w:sz w:val="24"/>
                <w:szCs w:val="24"/>
                <w:lang w:val="en-US"/>
              </w:rPr>
              <w:t xml:space="preserve"> (lagged)</w:t>
            </w:r>
          </w:p>
        </w:tc>
        <w:tc>
          <w:tcPr>
            <w:tcW w:w="1439" w:type="dxa"/>
            <w:shd w:val="clear" w:color="auto" w:fill="auto"/>
          </w:tcPr>
          <w:p w14:paraId="7CD9878F" w14:textId="5EA9EEAC"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0.009***</w:t>
            </w:r>
          </w:p>
        </w:tc>
        <w:tc>
          <w:tcPr>
            <w:tcW w:w="1585" w:type="dxa"/>
            <w:shd w:val="clear" w:color="auto" w:fill="auto"/>
          </w:tcPr>
          <w:p w14:paraId="40326B11" w14:textId="0EEC155A"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0.014***</w:t>
            </w:r>
          </w:p>
        </w:tc>
        <w:tc>
          <w:tcPr>
            <w:tcW w:w="1438" w:type="dxa"/>
            <w:shd w:val="clear" w:color="auto" w:fill="auto"/>
          </w:tcPr>
          <w:p w14:paraId="6942373A" w14:textId="43C8590A"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0.008***</w:t>
            </w:r>
          </w:p>
        </w:tc>
        <w:tc>
          <w:tcPr>
            <w:tcW w:w="1586" w:type="dxa"/>
            <w:shd w:val="clear" w:color="auto" w:fill="auto"/>
          </w:tcPr>
          <w:p w14:paraId="2C4D93EC" w14:textId="1C31AB3D"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0.013***</w:t>
            </w:r>
          </w:p>
        </w:tc>
      </w:tr>
      <w:tr w:rsidR="00BB1114" w:rsidRPr="00F26EF7" w14:paraId="5F1F34EB" w14:textId="77777777">
        <w:trPr>
          <w:jc w:val="center"/>
        </w:trPr>
        <w:tc>
          <w:tcPr>
            <w:tcW w:w="3387" w:type="dxa"/>
            <w:shd w:val="clear" w:color="auto" w:fill="auto"/>
          </w:tcPr>
          <w:p w14:paraId="5DD60F5E" w14:textId="77777777" w:rsidR="00BB1114" w:rsidRPr="00F26EF7" w:rsidRDefault="00BB1114">
            <w:pPr>
              <w:widowControl w:val="0"/>
              <w:spacing w:after="0" w:line="240" w:lineRule="auto"/>
              <w:rPr>
                <w:rFonts w:cs="Times New Roman"/>
                <w:sz w:val="24"/>
                <w:szCs w:val="24"/>
                <w:lang w:val="en-US"/>
              </w:rPr>
            </w:pPr>
          </w:p>
        </w:tc>
        <w:tc>
          <w:tcPr>
            <w:tcW w:w="1439" w:type="dxa"/>
            <w:shd w:val="clear" w:color="auto" w:fill="auto"/>
          </w:tcPr>
          <w:p w14:paraId="78187711" w14:textId="063AE3A6"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w:t>
            </w:r>
          </w:p>
        </w:tc>
        <w:tc>
          <w:tcPr>
            <w:tcW w:w="1585" w:type="dxa"/>
            <w:shd w:val="clear" w:color="auto" w:fill="auto"/>
          </w:tcPr>
          <w:p w14:paraId="5D9CB2EC" w14:textId="4798BF44"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w:t>
            </w:r>
          </w:p>
        </w:tc>
        <w:tc>
          <w:tcPr>
            <w:tcW w:w="1438" w:type="dxa"/>
            <w:shd w:val="clear" w:color="auto" w:fill="auto"/>
          </w:tcPr>
          <w:p w14:paraId="5F88E95D" w14:textId="1786AB7D"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w:t>
            </w:r>
          </w:p>
        </w:tc>
        <w:tc>
          <w:tcPr>
            <w:tcW w:w="1586" w:type="dxa"/>
            <w:shd w:val="clear" w:color="auto" w:fill="auto"/>
          </w:tcPr>
          <w:p w14:paraId="226D88A0" w14:textId="19A4123E"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w:t>
            </w:r>
          </w:p>
        </w:tc>
      </w:tr>
      <w:tr w:rsidR="00BB1114" w:rsidRPr="00F26EF7" w14:paraId="204D04DA" w14:textId="77777777">
        <w:trPr>
          <w:jc w:val="center"/>
        </w:trPr>
        <w:tc>
          <w:tcPr>
            <w:tcW w:w="3387" w:type="dxa"/>
            <w:shd w:val="clear" w:color="auto" w:fill="auto"/>
          </w:tcPr>
          <w:p w14:paraId="4B3E108F" w14:textId="77777777" w:rsidR="00BB1114" w:rsidRPr="00F26EF7" w:rsidRDefault="00BB1114">
            <w:pPr>
              <w:widowControl w:val="0"/>
              <w:spacing w:after="0" w:line="240" w:lineRule="auto"/>
              <w:rPr>
                <w:rFonts w:cs="Times New Roman"/>
                <w:sz w:val="24"/>
                <w:szCs w:val="24"/>
                <w:lang w:val="en-US"/>
              </w:rPr>
            </w:pPr>
            <w:r w:rsidRPr="00F26EF7">
              <w:rPr>
                <w:rFonts w:cs="Times New Roman"/>
                <w:sz w:val="24"/>
                <w:szCs w:val="24"/>
                <w:lang w:val="en-US"/>
              </w:rPr>
              <w:t>Change in CPI</w:t>
            </w:r>
          </w:p>
        </w:tc>
        <w:tc>
          <w:tcPr>
            <w:tcW w:w="1439" w:type="dxa"/>
            <w:shd w:val="clear" w:color="auto" w:fill="auto"/>
          </w:tcPr>
          <w:p w14:paraId="270E1B16" w14:textId="5BB955FC"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2.962***</w:t>
            </w:r>
          </w:p>
        </w:tc>
        <w:tc>
          <w:tcPr>
            <w:tcW w:w="1585" w:type="dxa"/>
            <w:shd w:val="clear" w:color="auto" w:fill="auto"/>
          </w:tcPr>
          <w:p w14:paraId="6331EC5D" w14:textId="452535B6"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1.196</w:t>
            </w:r>
          </w:p>
        </w:tc>
        <w:tc>
          <w:tcPr>
            <w:tcW w:w="1438" w:type="dxa"/>
            <w:shd w:val="clear" w:color="auto" w:fill="auto"/>
          </w:tcPr>
          <w:p w14:paraId="0D458FAB" w14:textId="6A1BD42A"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0.466</w:t>
            </w:r>
          </w:p>
        </w:tc>
        <w:tc>
          <w:tcPr>
            <w:tcW w:w="1586" w:type="dxa"/>
            <w:shd w:val="clear" w:color="auto" w:fill="auto"/>
          </w:tcPr>
          <w:p w14:paraId="40A54B78" w14:textId="54AEBE67"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0.198</w:t>
            </w:r>
          </w:p>
        </w:tc>
      </w:tr>
      <w:tr w:rsidR="00BB1114" w:rsidRPr="00F26EF7" w14:paraId="04C316F6" w14:textId="77777777">
        <w:trPr>
          <w:jc w:val="center"/>
        </w:trPr>
        <w:tc>
          <w:tcPr>
            <w:tcW w:w="3387" w:type="dxa"/>
            <w:shd w:val="clear" w:color="auto" w:fill="auto"/>
          </w:tcPr>
          <w:p w14:paraId="45BFD2E5" w14:textId="77777777" w:rsidR="00BB1114" w:rsidRPr="00F26EF7" w:rsidRDefault="00BB1114">
            <w:pPr>
              <w:widowControl w:val="0"/>
              <w:spacing w:after="0" w:line="240" w:lineRule="auto"/>
              <w:rPr>
                <w:rFonts w:cs="Times New Roman"/>
                <w:sz w:val="24"/>
                <w:szCs w:val="24"/>
                <w:lang w:val="en-US"/>
              </w:rPr>
            </w:pPr>
          </w:p>
        </w:tc>
        <w:tc>
          <w:tcPr>
            <w:tcW w:w="1439" w:type="dxa"/>
            <w:shd w:val="clear" w:color="auto" w:fill="auto"/>
          </w:tcPr>
          <w:p w14:paraId="6B0A81C4" w14:textId="3B62E0EB"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(0.59)</w:t>
            </w:r>
          </w:p>
        </w:tc>
        <w:tc>
          <w:tcPr>
            <w:tcW w:w="1585" w:type="dxa"/>
            <w:shd w:val="clear" w:color="auto" w:fill="auto"/>
          </w:tcPr>
          <w:p w14:paraId="0D212F99" w14:textId="5B72548D"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(0.84)</w:t>
            </w:r>
          </w:p>
        </w:tc>
        <w:tc>
          <w:tcPr>
            <w:tcW w:w="1438" w:type="dxa"/>
            <w:shd w:val="clear" w:color="auto" w:fill="auto"/>
          </w:tcPr>
          <w:p w14:paraId="4D2BA991" w14:textId="68BDA7DF"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(0.35)</w:t>
            </w:r>
          </w:p>
        </w:tc>
        <w:tc>
          <w:tcPr>
            <w:tcW w:w="1586" w:type="dxa"/>
            <w:shd w:val="clear" w:color="auto" w:fill="auto"/>
          </w:tcPr>
          <w:p w14:paraId="1F15073B" w14:textId="3541391B"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(0.37)</w:t>
            </w:r>
          </w:p>
        </w:tc>
      </w:tr>
      <w:tr w:rsidR="00BB1114" w:rsidRPr="00F26EF7" w14:paraId="6DDD0C8C" w14:textId="77777777">
        <w:trPr>
          <w:jc w:val="center"/>
        </w:trPr>
        <w:tc>
          <w:tcPr>
            <w:tcW w:w="3387" w:type="dxa"/>
            <w:shd w:val="clear" w:color="auto" w:fill="auto"/>
          </w:tcPr>
          <w:p w14:paraId="4B549B81" w14:textId="77777777" w:rsidR="00BB1114" w:rsidRPr="00F26EF7" w:rsidRDefault="00BB1114">
            <w:pPr>
              <w:widowControl w:val="0"/>
              <w:spacing w:after="0" w:line="240" w:lineRule="auto"/>
              <w:rPr>
                <w:rFonts w:cs="Times New Roman"/>
                <w:sz w:val="24"/>
                <w:szCs w:val="24"/>
                <w:lang w:val="en-US"/>
              </w:rPr>
            </w:pPr>
            <w:r w:rsidRPr="00F26EF7">
              <w:rPr>
                <w:rFonts w:cs="Times New Roman"/>
                <w:sz w:val="24"/>
                <w:szCs w:val="24"/>
                <w:lang w:val="en-US"/>
              </w:rPr>
              <w:t>National IMF staff</w:t>
            </w:r>
          </w:p>
        </w:tc>
        <w:tc>
          <w:tcPr>
            <w:tcW w:w="1439" w:type="dxa"/>
            <w:shd w:val="clear" w:color="auto" w:fill="auto"/>
          </w:tcPr>
          <w:p w14:paraId="07DE904A" w14:textId="77777777" w:rsidR="00BB1114" w:rsidRPr="00F26EF7" w:rsidRDefault="00BB1114">
            <w:pPr>
              <w:widowControl w:val="0"/>
              <w:spacing w:after="0" w:line="240" w:lineRule="auto"/>
              <w:jc w:val="center"/>
              <w:rPr>
                <w:rFonts w:cs="Times New Roman"/>
                <w:sz w:val="24"/>
                <w:szCs w:val="24"/>
                <w:lang w:val="en-US"/>
              </w:rPr>
            </w:pPr>
          </w:p>
        </w:tc>
        <w:tc>
          <w:tcPr>
            <w:tcW w:w="1585" w:type="dxa"/>
            <w:shd w:val="clear" w:color="auto" w:fill="auto"/>
          </w:tcPr>
          <w:p w14:paraId="005213FE" w14:textId="63295235"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-54.818***</w:t>
            </w:r>
          </w:p>
        </w:tc>
        <w:tc>
          <w:tcPr>
            <w:tcW w:w="1438" w:type="dxa"/>
            <w:shd w:val="clear" w:color="auto" w:fill="auto"/>
          </w:tcPr>
          <w:p w14:paraId="67D5B816" w14:textId="77777777" w:rsidR="00BB1114" w:rsidRPr="00F26EF7" w:rsidRDefault="00BB1114">
            <w:pPr>
              <w:widowControl w:val="0"/>
              <w:spacing w:after="0" w:line="240" w:lineRule="auto"/>
              <w:jc w:val="center"/>
              <w:rPr>
                <w:rFonts w:cs="Times New Roman"/>
                <w:sz w:val="24"/>
                <w:szCs w:val="24"/>
                <w:lang w:val="en-US"/>
              </w:rPr>
            </w:pPr>
          </w:p>
        </w:tc>
        <w:tc>
          <w:tcPr>
            <w:tcW w:w="1586" w:type="dxa"/>
            <w:shd w:val="clear" w:color="auto" w:fill="auto"/>
          </w:tcPr>
          <w:p w14:paraId="0D040268" w14:textId="710A5E8B"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-49.580***</w:t>
            </w:r>
          </w:p>
        </w:tc>
      </w:tr>
      <w:tr w:rsidR="00BB1114" w:rsidRPr="00F26EF7" w14:paraId="6DA6BB94" w14:textId="77777777">
        <w:trPr>
          <w:jc w:val="center"/>
        </w:trPr>
        <w:tc>
          <w:tcPr>
            <w:tcW w:w="3387" w:type="dxa"/>
            <w:shd w:val="clear" w:color="auto" w:fill="auto"/>
          </w:tcPr>
          <w:p w14:paraId="54373C9C" w14:textId="77777777" w:rsidR="00BB1114" w:rsidRPr="00F26EF7" w:rsidRDefault="00BB1114">
            <w:pPr>
              <w:widowControl w:val="0"/>
              <w:spacing w:after="0" w:line="240" w:lineRule="auto"/>
              <w:rPr>
                <w:rFonts w:cs="Times New Roman"/>
                <w:sz w:val="24"/>
                <w:szCs w:val="24"/>
                <w:lang w:val="en-US"/>
              </w:rPr>
            </w:pPr>
          </w:p>
        </w:tc>
        <w:tc>
          <w:tcPr>
            <w:tcW w:w="1439" w:type="dxa"/>
            <w:shd w:val="clear" w:color="auto" w:fill="auto"/>
          </w:tcPr>
          <w:p w14:paraId="661D2049" w14:textId="77777777" w:rsidR="00BB1114" w:rsidRPr="00F26EF7" w:rsidRDefault="00BB1114">
            <w:pPr>
              <w:widowControl w:val="0"/>
              <w:spacing w:after="0" w:line="240" w:lineRule="auto"/>
              <w:jc w:val="center"/>
              <w:rPr>
                <w:rFonts w:cs="Times New Roman"/>
                <w:sz w:val="24"/>
                <w:szCs w:val="24"/>
                <w:lang w:val="en-US"/>
              </w:rPr>
            </w:pPr>
          </w:p>
        </w:tc>
        <w:tc>
          <w:tcPr>
            <w:tcW w:w="1585" w:type="dxa"/>
            <w:shd w:val="clear" w:color="auto" w:fill="auto"/>
          </w:tcPr>
          <w:p w14:paraId="066C74C7" w14:textId="136243E5"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(7.11)</w:t>
            </w:r>
          </w:p>
        </w:tc>
        <w:tc>
          <w:tcPr>
            <w:tcW w:w="1438" w:type="dxa"/>
            <w:shd w:val="clear" w:color="auto" w:fill="auto"/>
          </w:tcPr>
          <w:p w14:paraId="09C8AB1F" w14:textId="77777777" w:rsidR="00BB1114" w:rsidRPr="00F26EF7" w:rsidRDefault="00BB1114">
            <w:pPr>
              <w:widowControl w:val="0"/>
              <w:spacing w:after="0" w:line="240" w:lineRule="auto"/>
              <w:jc w:val="center"/>
              <w:rPr>
                <w:rFonts w:cs="Times New Roman"/>
                <w:sz w:val="24"/>
                <w:szCs w:val="24"/>
                <w:lang w:val="en-US"/>
              </w:rPr>
            </w:pPr>
          </w:p>
        </w:tc>
        <w:tc>
          <w:tcPr>
            <w:tcW w:w="1586" w:type="dxa"/>
            <w:shd w:val="clear" w:color="auto" w:fill="auto"/>
          </w:tcPr>
          <w:p w14:paraId="725979E8" w14:textId="03711970"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(4.24)</w:t>
            </w:r>
          </w:p>
        </w:tc>
      </w:tr>
      <w:tr w:rsidR="00BB1114" w:rsidRPr="00F26EF7" w14:paraId="4A8803F4" w14:textId="77777777">
        <w:trPr>
          <w:jc w:val="center"/>
        </w:trPr>
        <w:tc>
          <w:tcPr>
            <w:tcW w:w="3387" w:type="dxa"/>
            <w:shd w:val="clear" w:color="auto" w:fill="auto"/>
          </w:tcPr>
          <w:p w14:paraId="3077182C" w14:textId="77777777" w:rsidR="00BB1114" w:rsidRPr="00F26EF7" w:rsidRDefault="00BB1114">
            <w:pPr>
              <w:widowControl w:val="0"/>
              <w:spacing w:after="0" w:line="240" w:lineRule="auto"/>
              <w:rPr>
                <w:rFonts w:cs="Times New Roman"/>
                <w:sz w:val="24"/>
                <w:szCs w:val="24"/>
                <w:lang w:val="en-US"/>
              </w:rPr>
            </w:pPr>
            <w:r w:rsidRPr="00F26EF7">
              <w:rPr>
                <w:rFonts w:cs="Times New Roman"/>
                <w:sz w:val="24"/>
                <w:szCs w:val="24"/>
                <w:lang w:val="en-US"/>
              </w:rPr>
              <w:t>Years since last violence</w:t>
            </w:r>
          </w:p>
        </w:tc>
        <w:tc>
          <w:tcPr>
            <w:tcW w:w="1439" w:type="dxa"/>
            <w:shd w:val="clear" w:color="auto" w:fill="auto"/>
          </w:tcPr>
          <w:p w14:paraId="63E7301E" w14:textId="77777777" w:rsidR="00BB1114" w:rsidRPr="00F26EF7" w:rsidRDefault="00BB1114">
            <w:pPr>
              <w:widowControl w:val="0"/>
              <w:spacing w:after="0" w:line="240" w:lineRule="auto"/>
              <w:jc w:val="center"/>
              <w:rPr>
                <w:rFonts w:cs="Times New Roman"/>
                <w:sz w:val="24"/>
                <w:szCs w:val="24"/>
                <w:lang w:val="en-US"/>
              </w:rPr>
            </w:pPr>
          </w:p>
        </w:tc>
        <w:tc>
          <w:tcPr>
            <w:tcW w:w="1585" w:type="dxa"/>
            <w:shd w:val="clear" w:color="auto" w:fill="auto"/>
          </w:tcPr>
          <w:p w14:paraId="372DCA76" w14:textId="77777777" w:rsidR="00BB1114" w:rsidRPr="00F26EF7" w:rsidRDefault="00BB1114">
            <w:pPr>
              <w:widowControl w:val="0"/>
              <w:spacing w:after="0" w:line="240" w:lineRule="auto"/>
              <w:jc w:val="center"/>
              <w:rPr>
                <w:rFonts w:cs="Times New Roman"/>
                <w:sz w:val="24"/>
                <w:szCs w:val="24"/>
                <w:lang w:val="en-US"/>
              </w:rPr>
            </w:pPr>
          </w:p>
        </w:tc>
        <w:tc>
          <w:tcPr>
            <w:tcW w:w="1438" w:type="dxa"/>
            <w:shd w:val="clear" w:color="auto" w:fill="auto"/>
          </w:tcPr>
          <w:p w14:paraId="72BCE95B" w14:textId="2F366CA6"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-0.106***</w:t>
            </w:r>
          </w:p>
        </w:tc>
        <w:tc>
          <w:tcPr>
            <w:tcW w:w="1586" w:type="dxa"/>
            <w:shd w:val="clear" w:color="auto" w:fill="auto"/>
          </w:tcPr>
          <w:p w14:paraId="545135C1" w14:textId="60814D29"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-0.035***</w:t>
            </w:r>
          </w:p>
        </w:tc>
      </w:tr>
      <w:tr w:rsidR="00BB1114" w:rsidRPr="00F26EF7" w14:paraId="4BFFBC1C" w14:textId="77777777">
        <w:trPr>
          <w:jc w:val="center"/>
        </w:trPr>
        <w:tc>
          <w:tcPr>
            <w:tcW w:w="3387" w:type="dxa"/>
            <w:shd w:val="clear" w:color="auto" w:fill="auto"/>
          </w:tcPr>
          <w:p w14:paraId="5F0C957C" w14:textId="77777777" w:rsidR="00BB1114" w:rsidRPr="00F26EF7" w:rsidRDefault="00BB1114">
            <w:pPr>
              <w:widowControl w:val="0"/>
              <w:spacing w:after="0" w:line="240" w:lineRule="auto"/>
              <w:rPr>
                <w:rFonts w:cs="Times New Roman"/>
                <w:sz w:val="24"/>
                <w:szCs w:val="24"/>
                <w:lang w:val="en-US"/>
              </w:rPr>
            </w:pPr>
          </w:p>
        </w:tc>
        <w:tc>
          <w:tcPr>
            <w:tcW w:w="1439" w:type="dxa"/>
            <w:shd w:val="clear" w:color="auto" w:fill="auto"/>
          </w:tcPr>
          <w:p w14:paraId="00CF9AD4" w14:textId="77777777" w:rsidR="00BB1114" w:rsidRPr="00F26EF7" w:rsidRDefault="00BB1114">
            <w:pPr>
              <w:widowControl w:val="0"/>
              <w:spacing w:after="0" w:line="240" w:lineRule="auto"/>
              <w:jc w:val="center"/>
              <w:rPr>
                <w:rFonts w:cs="Times New Roman"/>
                <w:sz w:val="24"/>
                <w:szCs w:val="24"/>
                <w:lang w:val="en-US"/>
              </w:rPr>
            </w:pPr>
          </w:p>
        </w:tc>
        <w:tc>
          <w:tcPr>
            <w:tcW w:w="1585" w:type="dxa"/>
            <w:shd w:val="clear" w:color="auto" w:fill="auto"/>
          </w:tcPr>
          <w:p w14:paraId="37737642" w14:textId="77777777" w:rsidR="00BB1114" w:rsidRPr="00F26EF7" w:rsidRDefault="00BB1114">
            <w:pPr>
              <w:widowControl w:val="0"/>
              <w:spacing w:after="0" w:line="240" w:lineRule="auto"/>
              <w:jc w:val="center"/>
              <w:rPr>
                <w:rFonts w:cs="Times New Roman"/>
                <w:sz w:val="24"/>
                <w:szCs w:val="24"/>
                <w:lang w:val="en-US"/>
              </w:rPr>
            </w:pPr>
          </w:p>
        </w:tc>
        <w:tc>
          <w:tcPr>
            <w:tcW w:w="1438" w:type="dxa"/>
            <w:shd w:val="clear" w:color="auto" w:fill="auto"/>
          </w:tcPr>
          <w:p w14:paraId="638C8124" w14:textId="745AB3D9"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(0.01)</w:t>
            </w:r>
          </w:p>
        </w:tc>
        <w:tc>
          <w:tcPr>
            <w:tcW w:w="1586" w:type="dxa"/>
            <w:shd w:val="clear" w:color="auto" w:fill="auto"/>
          </w:tcPr>
          <w:p w14:paraId="20432C1B" w14:textId="1B9BDC78"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(0.01)</w:t>
            </w:r>
          </w:p>
        </w:tc>
      </w:tr>
      <w:tr w:rsidR="00BB1114" w:rsidRPr="00F26EF7" w14:paraId="22C8E413" w14:textId="77777777">
        <w:trPr>
          <w:jc w:val="center"/>
        </w:trPr>
        <w:tc>
          <w:tcPr>
            <w:tcW w:w="3387" w:type="dxa"/>
            <w:shd w:val="clear" w:color="auto" w:fill="auto"/>
          </w:tcPr>
          <w:p w14:paraId="2CE04FC5" w14:textId="77777777" w:rsidR="00BB1114" w:rsidRPr="00F26EF7" w:rsidRDefault="00BB1114">
            <w:pPr>
              <w:widowControl w:val="0"/>
              <w:spacing w:after="0" w:line="240" w:lineRule="auto"/>
              <w:rPr>
                <w:lang w:val="en-US"/>
              </w:rPr>
            </w:pPr>
            <w:r w:rsidRPr="00F26EF7">
              <w:rPr>
                <w:rFonts w:cs="Times New Roman"/>
                <w:sz w:val="24"/>
                <w:szCs w:val="24"/>
                <w:lang w:val="en-US"/>
              </w:rPr>
              <w:t>Years^2</w:t>
            </w:r>
          </w:p>
        </w:tc>
        <w:tc>
          <w:tcPr>
            <w:tcW w:w="1439" w:type="dxa"/>
            <w:shd w:val="clear" w:color="auto" w:fill="auto"/>
          </w:tcPr>
          <w:p w14:paraId="34610AFD" w14:textId="77777777" w:rsidR="00BB1114" w:rsidRPr="00F26EF7" w:rsidRDefault="00BB1114">
            <w:pPr>
              <w:widowControl w:val="0"/>
              <w:spacing w:after="0" w:line="240" w:lineRule="auto"/>
              <w:jc w:val="center"/>
              <w:rPr>
                <w:rFonts w:cs="Times New Roman"/>
                <w:sz w:val="24"/>
                <w:szCs w:val="24"/>
                <w:lang w:val="en-US"/>
              </w:rPr>
            </w:pPr>
          </w:p>
        </w:tc>
        <w:tc>
          <w:tcPr>
            <w:tcW w:w="1585" w:type="dxa"/>
            <w:shd w:val="clear" w:color="auto" w:fill="auto"/>
          </w:tcPr>
          <w:p w14:paraId="09EF5E43" w14:textId="77777777" w:rsidR="00BB1114" w:rsidRPr="00F26EF7" w:rsidRDefault="00BB1114">
            <w:pPr>
              <w:widowControl w:val="0"/>
              <w:spacing w:after="0" w:line="240" w:lineRule="auto"/>
              <w:jc w:val="center"/>
              <w:rPr>
                <w:rFonts w:cs="Times New Roman"/>
                <w:sz w:val="24"/>
                <w:szCs w:val="24"/>
                <w:lang w:val="en-US"/>
              </w:rPr>
            </w:pPr>
          </w:p>
        </w:tc>
        <w:tc>
          <w:tcPr>
            <w:tcW w:w="1438" w:type="dxa"/>
            <w:shd w:val="clear" w:color="auto" w:fill="auto"/>
          </w:tcPr>
          <w:p w14:paraId="3EFFD55B" w14:textId="67A16033"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0.003***</w:t>
            </w:r>
          </w:p>
        </w:tc>
        <w:tc>
          <w:tcPr>
            <w:tcW w:w="1586" w:type="dxa"/>
            <w:shd w:val="clear" w:color="auto" w:fill="auto"/>
          </w:tcPr>
          <w:p w14:paraId="77A8D38E" w14:textId="1EF760C3"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0.001***</w:t>
            </w:r>
          </w:p>
        </w:tc>
      </w:tr>
      <w:tr w:rsidR="00BB1114" w:rsidRPr="00F26EF7" w14:paraId="081A6DA6" w14:textId="77777777">
        <w:trPr>
          <w:jc w:val="center"/>
        </w:trPr>
        <w:tc>
          <w:tcPr>
            <w:tcW w:w="3387" w:type="dxa"/>
            <w:shd w:val="clear" w:color="auto" w:fill="auto"/>
          </w:tcPr>
          <w:p w14:paraId="0FE27F8D" w14:textId="77777777" w:rsidR="00BB1114" w:rsidRPr="00F26EF7" w:rsidRDefault="00BB1114">
            <w:pPr>
              <w:widowControl w:val="0"/>
              <w:spacing w:after="0" w:line="240" w:lineRule="auto"/>
              <w:rPr>
                <w:rFonts w:cs="Times New Roman"/>
                <w:sz w:val="24"/>
                <w:szCs w:val="24"/>
                <w:lang w:val="en-US"/>
              </w:rPr>
            </w:pPr>
          </w:p>
        </w:tc>
        <w:tc>
          <w:tcPr>
            <w:tcW w:w="1439" w:type="dxa"/>
            <w:shd w:val="clear" w:color="auto" w:fill="auto"/>
          </w:tcPr>
          <w:p w14:paraId="7F44051B" w14:textId="77777777" w:rsidR="00BB1114" w:rsidRPr="00F26EF7" w:rsidRDefault="00BB1114">
            <w:pPr>
              <w:widowControl w:val="0"/>
              <w:spacing w:after="0" w:line="240" w:lineRule="auto"/>
              <w:jc w:val="center"/>
              <w:rPr>
                <w:rFonts w:cs="Times New Roman"/>
                <w:sz w:val="24"/>
                <w:szCs w:val="24"/>
                <w:lang w:val="en-US"/>
              </w:rPr>
            </w:pPr>
          </w:p>
        </w:tc>
        <w:tc>
          <w:tcPr>
            <w:tcW w:w="1585" w:type="dxa"/>
            <w:shd w:val="clear" w:color="auto" w:fill="auto"/>
          </w:tcPr>
          <w:p w14:paraId="6F84E88C" w14:textId="77777777" w:rsidR="00BB1114" w:rsidRPr="00F26EF7" w:rsidRDefault="00BB1114">
            <w:pPr>
              <w:widowControl w:val="0"/>
              <w:spacing w:after="0" w:line="240" w:lineRule="auto"/>
              <w:jc w:val="center"/>
              <w:rPr>
                <w:rFonts w:cs="Times New Roman"/>
                <w:sz w:val="24"/>
                <w:szCs w:val="24"/>
                <w:lang w:val="en-US"/>
              </w:rPr>
            </w:pPr>
          </w:p>
        </w:tc>
        <w:tc>
          <w:tcPr>
            <w:tcW w:w="1438" w:type="dxa"/>
            <w:shd w:val="clear" w:color="auto" w:fill="auto"/>
          </w:tcPr>
          <w:p w14:paraId="58DA39EB" w14:textId="454227EA"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w:t>
            </w:r>
          </w:p>
        </w:tc>
        <w:tc>
          <w:tcPr>
            <w:tcW w:w="1586" w:type="dxa"/>
            <w:shd w:val="clear" w:color="auto" w:fill="auto"/>
          </w:tcPr>
          <w:p w14:paraId="46ECDE56" w14:textId="6B20BF94"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w:t>
            </w:r>
          </w:p>
        </w:tc>
      </w:tr>
      <w:tr w:rsidR="00BB1114" w:rsidRPr="00F26EF7" w14:paraId="6DD73B7A" w14:textId="77777777">
        <w:trPr>
          <w:jc w:val="center"/>
        </w:trPr>
        <w:tc>
          <w:tcPr>
            <w:tcW w:w="3387" w:type="dxa"/>
            <w:shd w:val="clear" w:color="auto" w:fill="auto"/>
          </w:tcPr>
          <w:p w14:paraId="78ED3C10" w14:textId="77777777" w:rsidR="00BB1114" w:rsidRPr="00F26EF7" w:rsidRDefault="00BB1114">
            <w:pPr>
              <w:widowControl w:val="0"/>
              <w:spacing w:after="0" w:line="240" w:lineRule="auto"/>
              <w:rPr>
                <w:rFonts w:cs="Times New Roman"/>
                <w:sz w:val="24"/>
                <w:szCs w:val="24"/>
                <w:lang w:val="en-US"/>
              </w:rPr>
            </w:pPr>
            <w:r w:rsidRPr="00F26EF7">
              <w:rPr>
                <w:rFonts w:cs="Times New Roman"/>
                <w:sz w:val="24"/>
                <w:szCs w:val="24"/>
                <w:lang w:val="en-US"/>
              </w:rPr>
              <w:t>Years^3</w:t>
            </w:r>
          </w:p>
        </w:tc>
        <w:tc>
          <w:tcPr>
            <w:tcW w:w="1439" w:type="dxa"/>
            <w:shd w:val="clear" w:color="auto" w:fill="auto"/>
          </w:tcPr>
          <w:p w14:paraId="40262BF2" w14:textId="77777777" w:rsidR="00BB1114" w:rsidRPr="00F26EF7" w:rsidRDefault="00BB1114">
            <w:pPr>
              <w:widowControl w:val="0"/>
              <w:spacing w:after="0" w:line="240" w:lineRule="auto"/>
              <w:jc w:val="center"/>
              <w:rPr>
                <w:rFonts w:cs="Times New Roman"/>
                <w:sz w:val="24"/>
                <w:szCs w:val="24"/>
                <w:lang w:val="en-US"/>
              </w:rPr>
            </w:pPr>
          </w:p>
        </w:tc>
        <w:tc>
          <w:tcPr>
            <w:tcW w:w="1585" w:type="dxa"/>
            <w:shd w:val="clear" w:color="auto" w:fill="auto"/>
          </w:tcPr>
          <w:p w14:paraId="1370BFC1" w14:textId="77777777" w:rsidR="00BB1114" w:rsidRPr="00F26EF7" w:rsidRDefault="00BB1114">
            <w:pPr>
              <w:widowControl w:val="0"/>
              <w:spacing w:after="0" w:line="240" w:lineRule="auto"/>
              <w:jc w:val="center"/>
              <w:rPr>
                <w:rFonts w:cs="Times New Roman"/>
                <w:sz w:val="24"/>
                <w:szCs w:val="24"/>
                <w:lang w:val="en-US"/>
              </w:rPr>
            </w:pPr>
          </w:p>
        </w:tc>
        <w:tc>
          <w:tcPr>
            <w:tcW w:w="1438" w:type="dxa"/>
            <w:shd w:val="clear" w:color="auto" w:fill="auto"/>
          </w:tcPr>
          <w:p w14:paraId="6779049C" w14:textId="754A2659"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-0.000***</w:t>
            </w:r>
          </w:p>
        </w:tc>
        <w:tc>
          <w:tcPr>
            <w:tcW w:w="1586" w:type="dxa"/>
            <w:shd w:val="clear" w:color="auto" w:fill="auto"/>
          </w:tcPr>
          <w:p w14:paraId="28B2C90A" w14:textId="09B9E498"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-0.000***</w:t>
            </w:r>
          </w:p>
        </w:tc>
      </w:tr>
      <w:tr w:rsidR="00BB1114" w:rsidRPr="00F26EF7" w14:paraId="668D3180" w14:textId="77777777">
        <w:trPr>
          <w:jc w:val="center"/>
        </w:trPr>
        <w:tc>
          <w:tcPr>
            <w:tcW w:w="3387" w:type="dxa"/>
            <w:shd w:val="clear" w:color="auto" w:fill="auto"/>
          </w:tcPr>
          <w:p w14:paraId="7511B605" w14:textId="77777777" w:rsidR="00BB1114" w:rsidRPr="00F26EF7" w:rsidRDefault="00BB1114">
            <w:pPr>
              <w:widowControl w:val="0"/>
              <w:spacing w:after="0" w:line="240" w:lineRule="auto"/>
              <w:rPr>
                <w:rFonts w:cs="Times New Roman"/>
                <w:sz w:val="24"/>
                <w:szCs w:val="24"/>
                <w:lang w:val="en-US"/>
              </w:rPr>
            </w:pPr>
          </w:p>
        </w:tc>
        <w:tc>
          <w:tcPr>
            <w:tcW w:w="1439" w:type="dxa"/>
            <w:shd w:val="clear" w:color="auto" w:fill="auto"/>
          </w:tcPr>
          <w:p w14:paraId="4380E403" w14:textId="77777777" w:rsidR="00BB1114" w:rsidRPr="00F26EF7" w:rsidRDefault="00BB1114">
            <w:pPr>
              <w:widowControl w:val="0"/>
              <w:spacing w:after="0" w:line="240" w:lineRule="auto"/>
              <w:jc w:val="center"/>
              <w:rPr>
                <w:rFonts w:cs="Times New Roman"/>
                <w:sz w:val="24"/>
                <w:szCs w:val="24"/>
                <w:lang w:val="en-US"/>
              </w:rPr>
            </w:pPr>
          </w:p>
        </w:tc>
        <w:tc>
          <w:tcPr>
            <w:tcW w:w="1585" w:type="dxa"/>
            <w:shd w:val="clear" w:color="auto" w:fill="auto"/>
          </w:tcPr>
          <w:p w14:paraId="42B82D38" w14:textId="77777777" w:rsidR="00BB1114" w:rsidRPr="00F26EF7" w:rsidRDefault="00BB1114">
            <w:pPr>
              <w:widowControl w:val="0"/>
              <w:spacing w:after="0" w:line="240" w:lineRule="auto"/>
              <w:jc w:val="center"/>
              <w:rPr>
                <w:rFonts w:cs="Times New Roman"/>
                <w:sz w:val="24"/>
                <w:szCs w:val="24"/>
                <w:lang w:val="en-US"/>
              </w:rPr>
            </w:pPr>
          </w:p>
        </w:tc>
        <w:tc>
          <w:tcPr>
            <w:tcW w:w="1438" w:type="dxa"/>
            <w:shd w:val="clear" w:color="auto" w:fill="auto"/>
          </w:tcPr>
          <w:p w14:paraId="2EAB86ED" w14:textId="38ADE5FB"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w:t>
            </w:r>
          </w:p>
        </w:tc>
        <w:tc>
          <w:tcPr>
            <w:tcW w:w="1586" w:type="dxa"/>
            <w:shd w:val="clear" w:color="auto" w:fill="auto"/>
          </w:tcPr>
          <w:p w14:paraId="0563F3D0" w14:textId="38059B96"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(0.00)</w:t>
            </w:r>
          </w:p>
        </w:tc>
      </w:tr>
      <w:tr w:rsidR="00BB1114" w:rsidRPr="00F26EF7" w14:paraId="291CB6DB" w14:textId="77777777">
        <w:trPr>
          <w:jc w:val="center"/>
        </w:trPr>
        <w:tc>
          <w:tcPr>
            <w:tcW w:w="3387" w:type="dxa"/>
            <w:shd w:val="clear" w:color="auto" w:fill="auto"/>
          </w:tcPr>
          <w:p w14:paraId="51B0EB84" w14:textId="77777777" w:rsidR="00BB1114" w:rsidRPr="00F26EF7" w:rsidRDefault="00BB1114">
            <w:pPr>
              <w:widowControl w:val="0"/>
              <w:spacing w:after="0" w:line="240" w:lineRule="auto"/>
              <w:rPr>
                <w:rFonts w:cs="Times New Roman"/>
                <w:sz w:val="24"/>
                <w:szCs w:val="24"/>
                <w:lang w:val="en-US"/>
              </w:rPr>
            </w:pPr>
            <w:r w:rsidRPr="00F26EF7">
              <w:rPr>
                <w:rFonts w:cs="Times New Roman"/>
                <w:sz w:val="24"/>
                <w:szCs w:val="24"/>
                <w:lang w:val="en-US"/>
              </w:rPr>
              <w:t>Constant</w:t>
            </w:r>
          </w:p>
        </w:tc>
        <w:tc>
          <w:tcPr>
            <w:tcW w:w="1439" w:type="dxa"/>
            <w:shd w:val="clear" w:color="auto" w:fill="auto"/>
          </w:tcPr>
          <w:p w14:paraId="0B481600" w14:textId="350C10D5"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-0.731***</w:t>
            </w:r>
          </w:p>
        </w:tc>
        <w:tc>
          <w:tcPr>
            <w:tcW w:w="1585" w:type="dxa"/>
            <w:shd w:val="clear" w:color="auto" w:fill="auto"/>
          </w:tcPr>
          <w:p w14:paraId="6780B8D1" w14:textId="19E5C4CD"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-2.025***</w:t>
            </w:r>
          </w:p>
        </w:tc>
        <w:tc>
          <w:tcPr>
            <w:tcW w:w="1438" w:type="dxa"/>
            <w:shd w:val="clear" w:color="auto" w:fill="auto"/>
          </w:tcPr>
          <w:p w14:paraId="503F1A51" w14:textId="7709A169"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-1.637***</w:t>
            </w:r>
          </w:p>
        </w:tc>
        <w:tc>
          <w:tcPr>
            <w:tcW w:w="1586" w:type="dxa"/>
            <w:shd w:val="clear" w:color="auto" w:fill="auto"/>
          </w:tcPr>
          <w:p w14:paraId="1FE180F3" w14:textId="663B86FA"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-1.827***</w:t>
            </w:r>
          </w:p>
        </w:tc>
      </w:tr>
      <w:tr w:rsidR="00BB1114" w:rsidRPr="00F26EF7" w14:paraId="4137B3D6" w14:textId="77777777">
        <w:trPr>
          <w:jc w:val="center"/>
        </w:trPr>
        <w:tc>
          <w:tcPr>
            <w:tcW w:w="3387" w:type="dxa"/>
            <w:shd w:val="clear" w:color="auto" w:fill="auto"/>
          </w:tcPr>
          <w:p w14:paraId="4D9FBB76" w14:textId="77777777" w:rsidR="00BB1114" w:rsidRPr="00F26EF7" w:rsidRDefault="00BB1114">
            <w:pPr>
              <w:widowControl w:val="0"/>
              <w:spacing w:after="0" w:line="240" w:lineRule="auto"/>
              <w:rPr>
                <w:rFonts w:cs="Times New Roman"/>
                <w:sz w:val="24"/>
                <w:szCs w:val="24"/>
                <w:lang w:val="en-US"/>
              </w:rPr>
            </w:pPr>
          </w:p>
        </w:tc>
        <w:tc>
          <w:tcPr>
            <w:tcW w:w="1439" w:type="dxa"/>
            <w:shd w:val="clear" w:color="auto" w:fill="auto"/>
          </w:tcPr>
          <w:p w14:paraId="03E777C9" w14:textId="1F0AFDEB"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(0.07)</w:t>
            </w:r>
          </w:p>
        </w:tc>
        <w:tc>
          <w:tcPr>
            <w:tcW w:w="1585" w:type="dxa"/>
            <w:shd w:val="clear" w:color="auto" w:fill="auto"/>
          </w:tcPr>
          <w:p w14:paraId="61EB0C4B" w14:textId="5878B4F8"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(0.10)</w:t>
            </w:r>
          </w:p>
        </w:tc>
        <w:tc>
          <w:tcPr>
            <w:tcW w:w="1438" w:type="dxa"/>
            <w:shd w:val="clear" w:color="auto" w:fill="auto"/>
          </w:tcPr>
          <w:p w14:paraId="114394E2" w14:textId="2A91CA89"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(0.10)</w:t>
            </w:r>
          </w:p>
        </w:tc>
        <w:tc>
          <w:tcPr>
            <w:tcW w:w="1586" w:type="dxa"/>
            <w:shd w:val="clear" w:color="auto" w:fill="auto"/>
          </w:tcPr>
          <w:p w14:paraId="68B34A56" w14:textId="2BBA9215"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(0.08)</w:t>
            </w:r>
          </w:p>
        </w:tc>
      </w:tr>
      <w:tr w:rsidR="00BB1114" w:rsidRPr="00F26EF7" w14:paraId="4ADF8C15" w14:textId="77777777">
        <w:trPr>
          <w:jc w:val="center"/>
        </w:trPr>
        <w:tc>
          <w:tcPr>
            <w:tcW w:w="3387" w:type="dxa"/>
            <w:shd w:val="clear" w:color="auto" w:fill="auto"/>
          </w:tcPr>
          <w:p w14:paraId="10FAF67B" w14:textId="77777777" w:rsidR="00BB1114" w:rsidRPr="00F26EF7" w:rsidRDefault="00BB1114">
            <w:pPr>
              <w:widowControl w:val="0"/>
              <w:spacing w:after="0" w:line="240" w:lineRule="auto"/>
              <w:rPr>
                <w:rFonts w:cs="Times New Roman"/>
                <w:sz w:val="24"/>
                <w:szCs w:val="24"/>
                <w:lang w:val="en-US"/>
              </w:rPr>
            </w:pPr>
          </w:p>
        </w:tc>
        <w:tc>
          <w:tcPr>
            <w:tcW w:w="1439" w:type="dxa"/>
            <w:shd w:val="clear" w:color="auto" w:fill="auto"/>
          </w:tcPr>
          <w:p w14:paraId="06CE8914" w14:textId="77777777" w:rsidR="00BB1114" w:rsidRPr="00F26EF7" w:rsidRDefault="00BB1114">
            <w:pPr>
              <w:widowControl w:val="0"/>
              <w:spacing w:after="0" w:line="240" w:lineRule="auto"/>
              <w:jc w:val="center"/>
              <w:rPr>
                <w:rFonts w:cs="Times New Roman"/>
                <w:sz w:val="24"/>
                <w:szCs w:val="24"/>
                <w:lang w:val="en-US"/>
              </w:rPr>
            </w:pPr>
          </w:p>
        </w:tc>
        <w:tc>
          <w:tcPr>
            <w:tcW w:w="1585" w:type="dxa"/>
            <w:shd w:val="clear" w:color="auto" w:fill="auto"/>
          </w:tcPr>
          <w:p w14:paraId="3C6D872D" w14:textId="77777777" w:rsidR="00BB1114" w:rsidRPr="00F26EF7" w:rsidRDefault="00BB1114">
            <w:pPr>
              <w:widowControl w:val="0"/>
              <w:spacing w:after="0" w:line="240" w:lineRule="auto"/>
              <w:jc w:val="center"/>
              <w:rPr>
                <w:rFonts w:cs="Times New Roman"/>
                <w:sz w:val="24"/>
                <w:szCs w:val="24"/>
                <w:lang w:val="en-US"/>
              </w:rPr>
            </w:pPr>
          </w:p>
        </w:tc>
        <w:tc>
          <w:tcPr>
            <w:tcW w:w="1438" w:type="dxa"/>
            <w:shd w:val="clear" w:color="auto" w:fill="auto"/>
          </w:tcPr>
          <w:p w14:paraId="50E7AB0E" w14:textId="77777777" w:rsidR="00BB1114" w:rsidRPr="00F26EF7" w:rsidRDefault="00BB1114">
            <w:pPr>
              <w:widowControl w:val="0"/>
              <w:spacing w:after="0" w:line="240" w:lineRule="auto"/>
              <w:jc w:val="center"/>
              <w:rPr>
                <w:rFonts w:cs="Times New Roman"/>
                <w:sz w:val="24"/>
                <w:szCs w:val="24"/>
                <w:lang w:val="en-US"/>
              </w:rPr>
            </w:pPr>
          </w:p>
        </w:tc>
        <w:tc>
          <w:tcPr>
            <w:tcW w:w="1586" w:type="dxa"/>
            <w:shd w:val="clear" w:color="auto" w:fill="auto"/>
          </w:tcPr>
          <w:p w14:paraId="629A0C87" w14:textId="77777777" w:rsidR="00BB1114" w:rsidRPr="00F26EF7" w:rsidRDefault="00BB1114">
            <w:pPr>
              <w:widowControl w:val="0"/>
              <w:spacing w:after="0" w:line="240" w:lineRule="auto"/>
              <w:jc w:val="center"/>
              <w:rPr>
                <w:rFonts w:cs="Times New Roman"/>
                <w:sz w:val="24"/>
                <w:szCs w:val="24"/>
                <w:lang w:val="en-US"/>
              </w:rPr>
            </w:pPr>
          </w:p>
        </w:tc>
      </w:tr>
      <w:tr w:rsidR="00BB1114" w:rsidRPr="00F26EF7" w14:paraId="4B332662" w14:textId="77777777">
        <w:trPr>
          <w:jc w:val="center"/>
        </w:trPr>
        <w:tc>
          <w:tcPr>
            <w:tcW w:w="3387" w:type="dxa"/>
            <w:shd w:val="clear" w:color="auto" w:fill="auto"/>
          </w:tcPr>
          <w:p w14:paraId="7D0DD0D3" w14:textId="77777777" w:rsidR="00BB1114" w:rsidRPr="00F26EF7" w:rsidRDefault="00BB1114">
            <w:pPr>
              <w:widowControl w:val="0"/>
              <w:spacing w:after="0" w:line="240" w:lineRule="auto"/>
              <w:rPr>
                <w:rFonts w:cs="Times New Roman"/>
                <w:sz w:val="24"/>
                <w:szCs w:val="24"/>
                <w:lang w:val="en-US"/>
              </w:rPr>
            </w:pPr>
            <w:r w:rsidRPr="00F26EF7">
              <w:rPr>
                <w:rFonts w:cs="Times New Roman"/>
                <w:sz w:val="24"/>
                <w:szCs w:val="24"/>
                <w:lang w:val="en-US"/>
              </w:rPr>
              <w:t>Observations</w:t>
            </w:r>
          </w:p>
        </w:tc>
        <w:tc>
          <w:tcPr>
            <w:tcW w:w="1439" w:type="dxa"/>
            <w:shd w:val="clear" w:color="auto" w:fill="auto"/>
          </w:tcPr>
          <w:p w14:paraId="16112EA2" w14:textId="47E19439"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5,400</w:t>
            </w:r>
          </w:p>
        </w:tc>
        <w:tc>
          <w:tcPr>
            <w:tcW w:w="1585" w:type="dxa"/>
            <w:shd w:val="clear" w:color="auto" w:fill="auto"/>
          </w:tcPr>
          <w:p w14:paraId="2C36B99F" w14:textId="34001836"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5,400</w:t>
            </w:r>
          </w:p>
        </w:tc>
        <w:tc>
          <w:tcPr>
            <w:tcW w:w="1438" w:type="dxa"/>
            <w:shd w:val="clear" w:color="auto" w:fill="auto"/>
          </w:tcPr>
          <w:p w14:paraId="4A7BC827" w14:textId="500F3DC6"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9,129</w:t>
            </w:r>
          </w:p>
        </w:tc>
        <w:tc>
          <w:tcPr>
            <w:tcW w:w="1586" w:type="dxa"/>
            <w:shd w:val="clear" w:color="auto" w:fill="auto"/>
          </w:tcPr>
          <w:p w14:paraId="09BA4D46" w14:textId="73C1C3D2" w:rsidR="00BB1114" w:rsidRPr="00F26EF7" w:rsidRDefault="00BB1114">
            <w:pPr>
              <w:widowControl w:val="0"/>
              <w:spacing w:after="0" w:line="240" w:lineRule="auto"/>
              <w:jc w:val="center"/>
              <w:rPr>
                <w:rFonts w:cs="Times New Roman"/>
                <w:sz w:val="24"/>
                <w:szCs w:val="24"/>
                <w:lang w:val="en-US"/>
              </w:rPr>
            </w:pPr>
            <w:r w:rsidRPr="00F26EF7">
              <w:rPr>
                <w:rFonts w:cs="Times New Roman"/>
                <w:sz w:val="24"/>
                <w:szCs w:val="24"/>
                <w:lang w:val="en-US"/>
              </w:rPr>
              <w:t>9,129</w:t>
            </w:r>
          </w:p>
        </w:tc>
      </w:tr>
      <w:tr w:rsidR="00F405BC" w:rsidRPr="00F26EF7" w14:paraId="229758A5" w14:textId="77777777">
        <w:trPr>
          <w:jc w:val="center"/>
        </w:trPr>
        <w:tc>
          <w:tcPr>
            <w:tcW w:w="3387" w:type="dxa"/>
            <w:shd w:val="clear" w:color="auto" w:fill="auto"/>
          </w:tcPr>
          <w:p w14:paraId="04546109" w14:textId="77777777" w:rsidR="00F405BC" w:rsidRPr="00F26EF7" w:rsidRDefault="00D4646A">
            <w:pPr>
              <w:widowControl w:val="0"/>
              <w:spacing w:after="0" w:line="240" w:lineRule="auto"/>
              <w:rPr>
                <w:rFonts w:cs="Times New Roman"/>
                <w:sz w:val="24"/>
                <w:szCs w:val="24"/>
                <w:lang w:val="en-US"/>
              </w:rPr>
            </w:pPr>
            <w:r w:rsidRPr="00F26EF7">
              <w:rPr>
                <w:rFonts w:cs="Times New Roman"/>
                <w:sz w:val="24"/>
                <w:szCs w:val="24"/>
                <w:lang w:val="en-US"/>
              </w:rPr>
              <w:t>Rho</w:t>
            </w:r>
          </w:p>
        </w:tc>
        <w:tc>
          <w:tcPr>
            <w:tcW w:w="1439" w:type="dxa"/>
            <w:shd w:val="clear" w:color="auto" w:fill="auto"/>
          </w:tcPr>
          <w:p w14:paraId="2B0C575E" w14:textId="77777777" w:rsidR="00F405BC" w:rsidRDefault="004D6144" w:rsidP="004D6144">
            <w:pPr>
              <w:widowControl w:val="0"/>
              <w:spacing w:after="0" w:line="240" w:lineRule="auto"/>
              <w:jc w:val="center"/>
              <w:rPr>
                <w:rFonts w:cs="Times New Roman"/>
                <w:sz w:val="24"/>
                <w:szCs w:val="24"/>
                <w:lang w:val="en-US"/>
              </w:rPr>
            </w:pPr>
            <w:r w:rsidRPr="00F26EF7">
              <w:rPr>
                <w:rFonts w:cs="Times New Roman"/>
                <w:sz w:val="24"/>
                <w:szCs w:val="24"/>
                <w:lang w:val="en-US"/>
              </w:rPr>
              <w:t>0.832</w:t>
            </w:r>
            <w:r w:rsidR="00D4646A" w:rsidRPr="00F26EF7">
              <w:rPr>
                <w:rFonts w:cs="Times New Roman"/>
                <w:sz w:val="24"/>
                <w:szCs w:val="24"/>
                <w:lang w:val="en-US"/>
              </w:rPr>
              <w:t>***</w:t>
            </w:r>
          </w:p>
          <w:p w14:paraId="341B4B2C" w14:textId="138086F2" w:rsidR="007F5178" w:rsidRPr="00F26EF7" w:rsidRDefault="007F5178" w:rsidP="004D6144">
            <w:pPr>
              <w:widowControl w:val="0"/>
              <w:spacing w:after="0" w:line="240" w:lineRule="auto"/>
              <w:jc w:val="center"/>
              <w:rPr>
                <w:rFonts w:cs="Times New Roman"/>
                <w:sz w:val="24"/>
                <w:szCs w:val="24"/>
                <w:lang w:val="en-US"/>
              </w:rPr>
            </w:pPr>
            <w:r>
              <w:rPr>
                <w:rFonts w:cs="Times New Roman"/>
                <w:sz w:val="24"/>
                <w:szCs w:val="24"/>
                <w:lang w:val="en-US"/>
              </w:rPr>
              <w:t>(</w:t>
            </w:r>
            <w:r w:rsidRPr="00F26EF7">
              <w:rPr>
                <w:rFonts w:cs="Times New Roman"/>
                <w:sz w:val="24"/>
                <w:szCs w:val="24"/>
                <w:lang w:val="en-US"/>
              </w:rPr>
              <w:t>0.067</w:t>
            </w:r>
            <w:r>
              <w:rPr>
                <w:rFonts w:cs="Times New Roman"/>
                <w:sz w:val="24"/>
                <w:szCs w:val="24"/>
                <w:lang w:val="en-US"/>
              </w:rPr>
              <w:t>)</w:t>
            </w:r>
          </w:p>
        </w:tc>
        <w:tc>
          <w:tcPr>
            <w:tcW w:w="1585" w:type="dxa"/>
            <w:shd w:val="clear" w:color="auto" w:fill="auto"/>
          </w:tcPr>
          <w:p w14:paraId="161F939B" w14:textId="058A708C" w:rsidR="00F405BC" w:rsidRPr="00F26EF7" w:rsidRDefault="00F405BC" w:rsidP="004D6144">
            <w:pPr>
              <w:widowControl w:val="0"/>
              <w:spacing w:after="0" w:line="240" w:lineRule="auto"/>
              <w:jc w:val="center"/>
              <w:rPr>
                <w:rFonts w:cs="Times New Roman"/>
                <w:sz w:val="24"/>
                <w:szCs w:val="24"/>
                <w:lang w:val="en-US"/>
              </w:rPr>
            </w:pPr>
          </w:p>
        </w:tc>
        <w:tc>
          <w:tcPr>
            <w:tcW w:w="1438" w:type="dxa"/>
            <w:shd w:val="clear" w:color="auto" w:fill="auto"/>
          </w:tcPr>
          <w:p w14:paraId="74642452" w14:textId="77777777" w:rsidR="00F405BC" w:rsidRDefault="00D4646A" w:rsidP="00DE4C5B">
            <w:pPr>
              <w:widowControl w:val="0"/>
              <w:spacing w:after="0" w:line="240" w:lineRule="auto"/>
              <w:jc w:val="center"/>
              <w:rPr>
                <w:rFonts w:cs="Times New Roman"/>
                <w:sz w:val="24"/>
                <w:szCs w:val="24"/>
                <w:lang w:val="en-US"/>
              </w:rPr>
            </w:pPr>
            <w:r w:rsidRPr="00F26EF7">
              <w:rPr>
                <w:rFonts w:cs="Times New Roman"/>
                <w:sz w:val="24"/>
                <w:szCs w:val="24"/>
                <w:lang w:val="en-US"/>
              </w:rPr>
              <w:t>0.</w:t>
            </w:r>
            <w:r w:rsidR="00DE4C5B" w:rsidRPr="00F26EF7">
              <w:rPr>
                <w:rFonts w:cs="Times New Roman"/>
                <w:sz w:val="24"/>
                <w:szCs w:val="24"/>
                <w:lang w:val="en-US"/>
              </w:rPr>
              <w:t>361***</w:t>
            </w:r>
          </w:p>
          <w:p w14:paraId="546E52C3" w14:textId="074B91DD" w:rsidR="007F5178" w:rsidRPr="00F26EF7" w:rsidRDefault="007F5178" w:rsidP="00DE4C5B">
            <w:pPr>
              <w:widowControl w:val="0"/>
              <w:spacing w:after="0" w:line="240" w:lineRule="auto"/>
              <w:jc w:val="center"/>
              <w:rPr>
                <w:rFonts w:cs="Times New Roman"/>
                <w:sz w:val="24"/>
                <w:szCs w:val="24"/>
                <w:lang w:val="en-US"/>
              </w:rPr>
            </w:pPr>
            <w:r>
              <w:rPr>
                <w:rFonts w:cs="Times New Roman"/>
                <w:sz w:val="24"/>
                <w:szCs w:val="24"/>
                <w:lang w:val="en-US"/>
              </w:rPr>
              <w:t>(</w:t>
            </w:r>
            <w:r w:rsidRPr="00F26EF7">
              <w:rPr>
                <w:rFonts w:cs="Times New Roman"/>
                <w:sz w:val="24"/>
                <w:szCs w:val="24"/>
                <w:lang w:val="en-US"/>
              </w:rPr>
              <w:t>0.112</w:t>
            </w:r>
            <w:r>
              <w:rPr>
                <w:rFonts w:cs="Times New Roman"/>
                <w:sz w:val="24"/>
                <w:szCs w:val="24"/>
                <w:lang w:val="en-US"/>
              </w:rPr>
              <w:t>)</w:t>
            </w:r>
          </w:p>
        </w:tc>
        <w:tc>
          <w:tcPr>
            <w:tcW w:w="1586" w:type="dxa"/>
            <w:shd w:val="clear" w:color="auto" w:fill="auto"/>
          </w:tcPr>
          <w:p w14:paraId="2769D82F" w14:textId="5CB3AF97" w:rsidR="00F405BC" w:rsidRPr="00F26EF7" w:rsidRDefault="00F405BC" w:rsidP="00DE4C5B">
            <w:pPr>
              <w:widowControl w:val="0"/>
              <w:spacing w:after="0" w:line="240" w:lineRule="auto"/>
              <w:jc w:val="center"/>
              <w:rPr>
                <w:rFonts w:cs="Times New Roman"/>
                <w:sz w:val="24"/>
                <w:szCs w:val="24"/>
                <w:lang w:val="en-US"/>
              </w:rPr>
            </w:pPr>
          </w:p>
        </w:tc>
      </w:tr>
      <w:tr w:rsidR="00F405BC" w:rsidRPr="00F26EF7" w14:paraId="5E0C724B" w14:textId="77777777">
        <w:trPr>
          <w:jc w:val="center"/>
        </w:trPr>
        <w:tc>
          <w:tcPr>
            <w:tcW w:w="3387" w:type="dxa"/>
            <w:tcBorders>
              <w:top w:val="single" w:sz="6" w:space="0" w:color="00000A"/>
              <w:bottom w:val="single" w:sz="6" w:space="0" w:color="00000A"/>
            </w:tcBorders>
            <w:shd w:val="clear" w:color="auto" w:fill="auto"/>
          </w:tcPr>
          <w:p w14:paraId="2330760E" w14:textId="77777777" w:rsidR="00F405BC" w:rsidRPr="00F26EF7" w:rsidRDefault="00D4646A">
            <w:pPr>
              <w:widowControl w:val="0"/>
              <w:spacing w:after="0" w:line="240" w:lineRule="auto"/>
              <w:rPr>
                <w:rFonts w:cs="Times New Roman"/>
                <w:sz w:val="24"/>
                <w:szCs w:val="24"/>
                <w:lang w:val="en-US"/>
              </w:rPr>
            </w:pPr>
            <w:r w:rsidRPr="00F26EF7">
              <w:rPr>
                <w:rFonts w:cs="Times New Roman"/>
                <w:sz w:val="24"/>
                <w:szCs w:val="24"/>
                <w:lang w:val="en-US"/>
              </w:rPr>
              <w:t>Log-likelihood</w:t>
            </w:r>
          </w:p>
        </w:tc>
        <w:tc>
          <w:tcPr>
            <w:tcW w:w="1439" w:type="dxa"/>
            <w:tcBorders>
              <w:top w:val="single" w:sz="6" w:space="0" w:color="00000A"/>
              <w:bottom w:val="single" w:sz="6" w:space="0" w:color="00000A"/>
            </w:tcBorders>
            <w:shd w:val="clear" w:color="auto" w:fill="auto"/>
          </w:tcPr>
          <w:p w14:paraId="152DAED6" w14:textId="75F14380" w:rsidR="00F405BC" w:rsidRPr="00F26EF7" w:rsidRDefault="00DE4C5B">
            <w:pPr>
              <w:widowControl w:val="0"/>
              <w:spacing w:after="0" w:line="240" w:lineRule="auto"/>
              <w:jc w:val="center"/>
              <w:rPr>
                <w:rFonts w:cs="Times New Roman"/>
                <w:sz w:val="24"/>
                <w:szCs w:val="24"/>
                <w:lang w:val="en-US"/>
              </w:rPr>
            </w:pPr>
            <w:r w:rsidRPr="00F26EF7">
              <w:rPr>
                <w:rFonts w:cs="Times New Roman"/>
                <w:sz w:val="24"/>
                <w:szCs w:val="24"/>
                <w:lang w:val="en-US"/>
              </w:rPr>
              <w:t>-4776</w:t>
            </w:r>
          </w:p>
        </w:tc>
        <w:tc>
          <w:tcPr>
            <w:tcW w:w="1585" w:type="dxa"/>
            <w:tcBorders>
              <w:top w:val="single" w:sz="6" w:space="0" w:color="00000A"/>
              <w:bottom w:val="single" w:sz="6" w:space="0" w:color="00000A"/>
            </w:tcBorders>
            <w:shd w:val="clear" w:color="auto" w:fill="auto"/>
          </w:tcPr>
          <w:p w14:paraId="1499009E" w14:textId="77777777" w:rsidR="00F405BC" w:rsidRPr="00F26EF7" w:rsidRDefault="00F405BC">
            <w:pPr>
              <w:widowControl w:val="0"/>
              <w:spacing w:after="0" w:line="240" w:lineRule="auto"/>
              <w:jc w:val="center"/>
              <w:rPr>
                <w:rFonts w:cs="Times New Roman"/>
                <w:sz w:val="24"/>
                <w:szCs w:val="24"/>
                <w:lang w:val="en-US"/>
              </w:rPr>
            </w:pPr>
          </w:p>
        </w:tc>
        <w:tc>
          <w:tcPr>
            <w:tcW w:w="1438" w:type="dxa"/>
            <w:tcBorders>
              <w:top w:val="single" w:sz="6" w:space="0" w:color="00000A"/>
              <w:bottom w:val="single" w:sz="6" w:space="0" w:color="00000A"/>
            </w:tcBorders>
            <w:shd w:val="clear" w:color="auto" w:fill="auto"/>
          </w:tcPr>
          <w:p w14:paraId="4CB95BB4" w14:textId="2B4E703A" w:rsidR="00F405BC" w:rsidRPr="00F26EF7" w:rsidRDefault="00DE4C5B">
            <w:pPr>
              <w:widowControl w:val="0"/>
              <w:spacing w:after="0" w:line="240" w:lineRule="auto"/>
              <w:jc w:val="center"/>
              <w:rPr>
                <w:rFonts w:cs="Times New Roman"/>
                <w:sz w:val="24"/>
                <w:szCs w:val="24"/>
                <w:lang w:val="en-US"/>
              </w:rPr>
            </w:pPr>
            <w:r w:rsidRPr="00F26EF7">
              <w:rPr>
                <w:rFonts w:cs="Times New Roman"/>
                <w:sz w:val="24"/>
                <w:szCs w:val="24"/>
                <w:lang w:val="en-US"/>
              </w:rPr>
              <w:t>-4371</w:t>
            </w:r>
          </w:p>
        </w:tc>
        <w:tc>
          <w:tcPr>
            <w:tcW w:w="1586" w:type="dxa"/>
            <w:tcBorders>
              <w:top w:val="single" w:sz="6" w:space="0" w:color="00000A"/>
              <w:bottom w:val="single" w:sz="6" w:space="0" w:color="00000A"/>
            </w:tcBorders>
            <w:shd w:val="clear" w:color="auto" w:fill="auto"/>
          </w:tcPr>
          <w:p w14:paraId="7DFFEBF8" w14:textId="77777777" w:rsidR="00F405BC" w:rsidRPr="00F26EF7" w:rsidRDefault="00F405BC">
            <w:pPr>
              <w:widowControl w:val="0"/>
              <w:spacing w:after="0" w:line="240" w:lineRule="auto"/>
              <w:jc w:val="center"/>
              <w:rPr>
                <w:rFonts w:cs="Times New Roman"/>
                <w:sz w:val="24"/>
                <w:szCs w:val="24"/>
                <w:lang w:val="en-US"/>
              </w:rPr>
            </w:pPr>
          </w:p>
        </w:tc>
      </w:tr>
    </w:tbl>
    <w:p w14:paraId="1E8981FD"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Standard errors in parentheses</w:t>
      </w:r>
    </w:p>
    <w:p w14:paraId="1C4C791D" w14:textId="77777777" w:rsidR="00F405BC" w:rsidRPr="00F26EF7" w:rsidRDefault="00D4646A">
      <w:pPr>
        <w:widowControl w:val="0"/>
        <w:spacing w:after="0" w:line="240" w:lineRule="auto"/>
        <w:jc w:val="center"/>
        <w:rPr>
          <w:rFonts w:cs="Times New Roman"/>
          <w:sz w:val="24"/>
          <w:szCs w:val="24"/>
          <w:lang w:val="en-US"/>
        </w:rPr>
      </w:pPr>
      <w:r w:rsidRPr="00F26EF7">
        <w:rPr>
          <w:rFonts w:cs="Times New Roman"/>
          <w:sz w:val="24"/>
          <w:szCs w:val="24"/>
          <w:lang w:val="en-US"/>
        </w:rPr>
        <w:t>*** p&lt;0.01, ** p&lt;0.05, * p&lt;0.1</w:t>
      </w:r>
    </w:p>
    <w:p w14:paraId="3AA8824A" w14:textId="77777777" w:rsidR="00BB1114" w:rsidRPr="00F26EF7" w:rsidRDefault="00BB1114">
      <w:pPr>
        <w:rPr>
          <w:sz w:val="24"/>
          <w:szCs w:val="24"/>
          <w:lang w:val="en-US"/>
        </w:rPr>
      </w:pPr>
    </w:p>
    <w:p w14:paraId="706BB376" w14:textId="41841FB8" w:rsidR="00F405BC" w:rsidRPr="00F26EF7" w:rsidRDefault="00D4646A">
      <w:pPr>
        <w:rPr>
          <w:lang w:val="en-US"/>
        </w:rPr>
      </w:pPr>
      <w:r w:rsidRPr="00F26EF7">
        <w:rPr>
          <w:sz w:val="24"/>
          <w:szCs w:val="24"/>
          <w:lang w:val="en-US"/>
        </w:rPr>
        <w:t xml:space="preserve">The </w:t>
      </w:r>
      <w:r w:rsidR="0083200F" w:rsidRPr="00F26EF7">
        <w:rPr>
          <w:sz w:val="24"/>
          <w:szCs w:val="24"/>
          <w:lang w:val="en-US"/>
        </w:rPr>
        <w:t xml:space="preserve">estimated </w:t>
      </w:r>
      <w:r w:rsidR="00311B41">
        <w:rPr>
          <w:sz w:val="24"/>
          <w:szCs w:val="24"/>
          <w:lang w:val="en-US"/>
        </w:rPr>
        <w:t xml:space="preserve">result </w:t>
      </w:r>
      <w:r w:rsidR="0083200F" w:rsidRPr="00F26EF7">
        <w:rPr>
          <w:sz w:val="24"/>
          <w:szCs w:val="24"/>
          <w:lang w:val="en-US"/>
        </w:rPr>
        <w:t xml:space="preserve">for IMF involvement </w:t>
      </w:r>
      <w:r w:rsidR="00311B41">
        <w:rPr>
          <w:sz w:val="24"/>
          <w:szCs w:val="24"/>
          <w:lang w:val="en-US"/>
        </w:rPr>
        <w:t xml:space="preserve">on conflict </w:t>
      </w:r>
      <w:r w:rsidRPr="00F26EF7">
        <w:rPr>
          <w:sz w:val="24"/>
          <w:szCs w:val="24"/>
          <w:lang w:val="en-US"/>
        </w:rPr>
        <w:t xml:space="preserve">in </w:t>
      </w:r>
      <w:r w:rsidR="00321E45" w:rsidRPr="00F26EF7">
        <w:rPr>
          <w:sz w:val="24"/>
          <w:szCs w:val="24"/>
          <w:lang w:val="en-US"/>
        </w:rPr>
        <w:t>C</w:t>
      </w:r>
      <w:r w:rsidRPr="00F26EF7">
        <w:rPr>
          <w:sz w:val="24"/>
          <w:szCs w:val="24"/>
          <w:lang w:val="en-US"/>
        </w:rPr>
        <w:t xml:space="preserve">olumn 1 </w:t>
      </w:r>
      <w:r w:rsidR="0083200F" w:rsidRPr="00F26EF7">
        <w:rPr>
          <w:sz w:val="24"/>
          <w:szCs w:val="24"/>
          <w:lang w:val="en-US"/>
        </w:rPr>
        <w:t xml:space="preserve">in Table 5 </w:t>
      </w:r>
      <w:r w:rsidR="00311B41">
        <w:rPr>
          <w:sz w:val="24"/>
          <w:szCs w:val="24"/>
          <w:lang w:val="en-US"/>
        </w:rPr>
        <w:t xml:space="preserve">is </w:t>
      </w:r>
      <w:r w:rsidRPr="00F26EF7">
        <w:rPr>
          <w:sz w:val="24"/>
          <w:szCs w:val="24"/>
          <w:lang w:val="en-US"/>
        </w:rPr>
        <w:t>dramatic</w:t>
      </w:r>
      <w:r w:rsidR="00311B41">
        <w:rPr>
          <w:sz w:val="24"/>
          <w:szCs w:val="24"/>
          <w:lang w:val="en-US"/>
        </w:rPr>
        <w:t xml:space="preserve">ally </w:t>
      </w:r>
      <w:r w:rsidRPr="00F26EF7">
        <w:rPr>
          <w:sz w:val="24"/>
          <w:szCs w:val="24"/>
          <w:lang w:val="en-US"/>
        </w:rPr>
        <w:t>differ</w:t>
      </w:r>
      <w:r w:rsidR="00311B41">
        <w:rPr>
          <w:sz w:val="24"/>
          <w:szCs w:val="24"/>
          <w:lang w:val="en-US"/>
        </w:rPr>
        <w:t>ent</w:t>
      </w:r>
      <w:r w:rsidRPr="00F26EF7">
        <w:rPr>
          <w:sz w:val="24"/>
          <w:szCs w:val="24"/>
          <w:lang w:val="en-US"/>
        </w:rPr>
        <w:t xml:space="preserve"> </w:t>
      </w:r>
      <w:r w:rsidR="00311B41">
        <w:rPr>
          <w:sz w:val="24"/>
          <w:szCs w:val="24"/>
          <w:lang w:val="en-US"/>
        </w:rPr>
        <w:t xml:space="preserve">from </w:t>
      </w:r>
      <w:r w:rsidRPr="00F26EF7">
        <w:rPr>
          <w:sz w:val="24"/>
          <w:szCs w:val="24"/>
          <w:lang w:val="en-US"/>
        </w:rPr>
        <w:t>the pr</w:t>
      </w:r>
      <w:r w:rsidR="0083200F" w:rsidRPr="00F26EF7">
        <w:rPr>
          <w:sz w:val="24"/>
          <w:szCs w:val="24"/>
          <w:lang w:val="en-US"/>
        </w:rPr>
        <w:t>evious transition model results</w:t>
      </w:r>
      <w:r w:rsidR="00593022" w:rsidRPr="00F26EF7">
        <w:rPr>
          <w:sz w:val="24"/>
          <w:szCs w:val="24"/>
          <w:lang w:val="en-US"/>
        </w:rPr>
        <w:t>, as</w:t>
      </w:r>
      <w:r w:rsidRPr="00F26EF7">
        <w:rPr>
          <w:sz w:val="24"/>
          <w:szCs w:val="24"/>
          <w:lang w:val="en-US"/>
        </w:rPr>
        <w:t xml:space="preserve"> the coefficient changes sign and becomes </w:t>
      </w:r>
      <w:r w:rsidR="00593022" w:rsidRPr="00F26EF7">
        <w:rPr>
          <w:sz w:val="24"/>
          <w:szCs w:val="24"/>
          <w:lang w:val="en-US"/>
        </w:rPr>
        <w:t xml:space="preserve">significantly </w:t>
      </w:r>
      <w:r w:rsidR="00451643">
        <w:rPr>
          <w:sz w:val="24"/>
          <w:szCs w:val="24"/>
          <w:lang w:val="en-US"/>
        </w:rPr>
        <w:t>negative. Hence, a</w:t>
      </w:r>
      <w:r w:rsidRPr="00F26EF7">
        <w:rPr>
          <w:sz w:val="24"/>
          <w:szCs w:val="24"/>
          <w:lang w:val="en-US"/>
        </w:rPr>
        <w:t xml:space="preserve">lthough we continue to find </w:t>
      </w:r>
      <w:r w:rsidR="00A5232E" w:rsidRPr="00F26EF7">
        <w:rPr>
          <w:sz w:val="24"/>
          <w:szCs w:val="24"/>
          <w:lang w:val="en-US"/>
        </w:rPr>
        <w:t>a clear positive impact</w:t>
      </w:r>
      <w:r w:rsidRPr="00F26EF7">
        <w:rPr>
          <w:sz w:val="24"/>
          <w:szCs w:val="24"/>
          <w:lang w:val="en-US"/>
        </w:rPr>
        <w:t xml:space="preserve"> </w:t>
      </w:r>
      <w:r w:rsidR="00A5232E" w:rsidRPr="00F26EF7">
        <w:rPr>
          <w:sz w:val="24"/>
          <w:szCs w:val="24"/>
          <w:lang w:val="en-US"/>
        </w:rPr>
        <w:t xml:space="preserve">of economic </w:t>
      </w:r>
      <w:r w:rsidRPr="00F26EF7">
        <w:rPr>
          <w:sz w:val="24"/>
          <w:szCs w:val="24"/>
          <w:lang w:val="en-US"/>
        </w:rPr>
        <w:t>crises</w:t>
      </w:r>
      <w:r w:rsidR="00A5232E" w:rsidRPr="00F26EF7">
        <w:rPr>
          <w:sz w:val="24"/>
          <w:szCs w:val="24"/>
          <w:lang w:val="en-US"/>
        </w:rPr>
        <w:t xml:space="preserve"> on protest</w:t>
      </w:r>
      <w:r w:rsidRPr="00F26EF7">
        <w:rPr>
          <w:sz w:val="24"/>
          <w:szCs w:val="24"/>
          <w:lang w:val="en-US"/>
        </w:rPr>
        <w:t xml:space="preserve">, there is no longer any evidence </w:t>
      </w:r>
      <w:r w:rsidR="00451643">
        <w:rPr>
          <w:sz w:val="24"/>
          <w:szCs w:val="24"/>
          <w:lang w:val="en-US"/>
        </w:rPr>
        <w:t xml:space="preserve">to support </w:t>
      </w:r>
      <w:r w:rsidRPr="00F26EF7">
        <w:rPr>
          <w:sz w:val="24"/>
          <w:szCs w:val="24"/>
          <w:lang w:val="en-US"/>
        </w:rPr>
        <w:t xml:space="preserve">that IMF programs </w:t>
      </w:r>
      <w:r w:rsidRPr="00F26EF7">
        <w:rPr>
          <w:sz w:val="24"/>
          <w:szCs w:val="24"/>
          <w:lang w:val="en-US"/>
        </w:rPr>
        <w:lastRenderedPageBreak/>
        <w:t>stimulate protests</w:t>
      </w:r>
      <w:r w:rsidR="006701E4">
        <w:rPr>
          <w:sz w:val="24"/>
          <w:szCs w:val="24"/>
          <w:lang w:val="en-US"/>
        </w:rPr>
        <w:t xml:space="preserve"> </w:t>
      </w:r>
      <w:r w:rsidR="00AA64CB">
        <w:rPr>
          <w:sz w:val="24"/>
          <w:szCs w:val="24"/>
          <w:lang w:val="en-US"/>
        </w:rPr>
        <w:t xml:space="preserve">once we take into account their relationship to crises </w:t>
      </w:r>
      <w:r w:rsidR="006701E4">
        <w:rPr>
          <w:sz w:val="24"/>
          <w:szCs w:val="24"/>
          <w:lang w:val="en-US"/>
        </w:rPr>
        <w:t xml:space="preserve">– rather, </w:t>
      </w:r>
      <w:r w:rsidR="00192C33" w:rsidRPr="00F26EF7">
        <w:rPr>
          <w:sz w:val="24"/>
          <w:szCs w:val="24"/>
          <w:lang w:val="en-US"/>
        </w:rPr>
        <w:t>IMF programs appear to make protest less likely</w:t>
      </w:r>
      <w:r w:rsidRPr="00F26EF7">
        <w:rPr>
          <w:sz w:val="24"/>
          <w:szCs w:val="24"/>
          <w:lang w:val="en-US"/>
        </w:rPr>
        <w:t xml:space="preserve">. </w:t>
      </w:r>
      <w:bookmarkStart w:id="1" w:name="__DdeLink__2044_1439792485"/>
      <w:bookmarkEnd w:id="1"/>
      <w:r w:rsidR="008C6C38">
        <w:rPr>
          <w:sz w:val="24"/>
          <w:szCs w:val="24"/>
          <w:lang w:val="en-US"/>
        </w:rPr>
        <w:t>T</w:t>
      </w:r>
      <w:r w:rsidRPr="00F26EF7">
        <w:rPr>
          <w:sz w:val="24"/>
          <w:szCs w:val="24"/>
          <w:lang w:val="en-US"/>
        </w:rPr>
        <w:t xml:space="preserve">his is consistent with the idea </w:t>
      </w:r>
      <w:r w:rsidR="008C6C38">
        <w:rPr>
          <w:sz w:val="24"/>
          <w:szCs w:val="24"/>
          <w:lang w:val="en-US"/>
        </w:rPr>
        <w:t xml:space="preserve">that programs </w:t>
      </w:r>
      <w:r w:rsidR="00D67899">
        <w:rPr>
          <w:sz w:val="24"/>
          <w:szCs w:val="24"/>
          <w:lang w:val="en-US"/>
        </w:rPr>
        <w:t xml:space="preserve">can </w:t>
      </w:r>
      <w:r w:rsidR="008C6C38">
        <w:rPr>
          <w:sz w:val="24"/>
          <w:szCs w:val="24"/>
          <w:lang w:val="en-US"/>
        </w:rPr>
        <w:t xml:space="preserve">have </w:t>
      </w:r>
      <w:r w:rsidRPr="00F26EF7">
        <w:rPr>
          <w:sz w:val="24"/>
          <w:szCs w:val="24"/>
          <w:lang w:val="en-US"/>
        </w:rPr>
        <w:t>accommodating effect</w:t>
      </w:r>
      <w:r w:rsidR="00990833" w:rsidRPr="00F26EF7">
        <w:rPr>
          <w:sz w:val="24"/>
          <w:szCs w:val="24"/>
          <w:lang w:val="en-US"/>
        </w:rPr>
        <w:t>s,</w:t>
      </w:r>
      <w:r w:rsidRPr="00F26EF7">
        <w:rPr>
          <w:sz w:val="24"/>
          <w:szCs w:val="24"/>
          <w:lang w:val="en-US"/>
        </w:rPr>
        <w:t xml:space="preserve"> </w:t>
      </w:r>
      <w:r w:rsidR="008C6C38">
        <w:rPr>
          <w:sz w:val="24"/>
          <w:szCs w:val="24"/>
          <w:lang w:val="en-US"/>
        </w:rPr>
        <w:t xml:space="preserve">and that </w:t>
      </w:r>
      <w:r w:rsidRPr="00F26EF7">
        <w:rPr>
          <w:sz w:val="24"/>
          <w:szCs w:val="24"/>
          <w:lang w:val="en-US"/>
        </w:rPr>
        <w:t xml:space="preserve">countries that </w:t>
      </w:r>
      <w:r w:rsidR="00990833" w:rsidRPr="00F26EF7">
        <w:rPr>
          <w:sz w:val="24"/>
          <w:szCs w:val="24"/>
          <w:lang w:val="en-US"/>
        </w:rPr>
        <w:t xml:space="preserve">manage to </w:t>
      </w:r>
      <w:r w:rsidRPr="00F26EF7">
        <w:rPr>
          <w:sz w:val="24"/>
          <w:szCs w:val="24"/>
          <w:lang w:val="en-US"/>
        </w:rPr>
        <w:t xml:space="preserve">pass through the IMF screening processes </w:t>
      </w:r>
      <w:r w:rsidR="00D67899">
        <w:rPr>
          <w:sz w:val="24"/>
          <w:szCs w:val="24"/>
          <w:lang w:val="en-US"/>
        </w:rPr>
        <w:t xml:space="preserve">will have be </w:t>
      </w:r>
      <w:r w:rsidR="00EA52FF" w:rsidRPr="00F26EF7">
        <w:rPr>
          <w:sz w:val="24"/>
          <w:szCs w:val="24"/>
          <w:lang w:val="en-US"/>
        </w:rPr>
        <w:t xml:space="preserve">more </w:t>
      </w:r>
      <w:r w:rsidRPr="00F26EF7">
        <w:rPr>
          <w:sz w:val="24"/>
          <w:szCs w:val="24"/>
          <w:lang w:val="en-US"/>
        </w:rPr>
        <w:t xml:space="preserve">capacity </w:t>
      </w:r>
      <w:r w:rsidR="00D67899">
        <w:rPr>
          <w:sz w:val="24"/>
          <w:szCs w:val="24"/>
          <w:lang w:val="en-US"/>
        </w:rPr>
        <w:t xml:space="preserve">to </w:t>
      </w:r>
      <w:r w:rsidRPr="00F26EF7">
        <w:rPr>
          <w:sz w:val="24"/>
          <w:szCs w:val="24"/>
          <w:lang w:val="en-US"/>
        </w:rPr>
        <w:t>miti</w:t>
      </w:r>
      <w:r w:rsidR="00D67899">
        <w:rPr>
          <w:sz w:val="24"/>
          <w:szCs w:val="24"/>
          <w:lang w:val="en-US"/>
        </w:rPr>
        <w:t>gate</w:t>
      </w:r>
      <w:r w:rsidRPr="00F26EF7">
        <w:rPr>
          <w:sz w:val="24"/>
          <w:szCs w:val="24"/>
          <w:lang w:val="en-US"/>
        </w:rPr>
        <w:t xml:space="preserve"> the impact of a crisis</w:t>
      </w:r>
      <w:r w:rsidR="00EA52FF" w:rsidRPr="00F26EF7">
        <w:rPr>
          <w:sz w:val="24"/>
          <w:szCs w:val="24"/>
          <w:lang w:val="en-US"/>
        </w:rPr>
        <w:t xml:space="preserve"> and </w:t>
      </w:r>
      <w:r w:rsidR="00D67899">
        <w:rPr>
          <w:sz w:val="24"/>
          <w:szCs w:val="24"/>
          <w:lang w:val="en-US"/>
        </w:rPr>
        <w:t xml:space="preserve">hence are </w:t>
      </w:r>
      <w:r w:rsidR="00EA52FF" w:rsidRPr="00F26EF7">
        <w:rPr>
          <w:sz w:val="24"/>
          <w:szCs w:val="24"/>
          <w:lang w:val="en-US"/>
        </w:rPr>
        <w:t>less likely to see protest than countries without IMF programs</w:t>
      </w:r>
      <w:r w:rsidRPr="00F26EF7">
        <w:rPr>
          <w:sz w:val="24"/>
          <w:szCs w:val="24"/>
          <w:lang w:val="en-US"/>
        </w:rPr>
        <w:t>.</w:t>
      </w:r>
    </w:p>
    <w:p w14:paraId="6ED0A416" w14:textId="7180C546" w:rsidR="00F405BC" w:rsidRPr="00F26EF7" w:rsidRDefault="00D4646A">
      <w:pPr>
        <w:rPr>
          <w:sz w:val="24"/>
          <w:szCs w:val="24"/>
          <w:lang w:val="en-US"/>
        </w:rPr>
      </w:pPr>
      <w:r w:rsidRPr="00F26EF7">
        <w:rPr>
          <w:sz w:val="24"/>
          <w:szCs w:val="24"/>
          <w:lang w:val="en-US"/>
        </w:rPr>
        <w:t xml:space="preserve">Columns 3 and 4 </w:t>
      </w:r>
      <w:r w:rsidR="00C026A2" w:rsidRPr="00F26EF7">
        <w:rPr>
          <w:sz w:val="24"/>
          <w:szCs w:val="24"/>
          <w:lang w:val="en-US"/>
        </w:rPr>
        <w:t xml:space="preserve">in Table 5 </w:t>
      </w:r>
      <w:r w:rsidRPr="00F26EF7">
        <w:rPr>
          <w:sz w:val="24"/>
          <w:szCs w:val="24"/>
          <w:lang w:val="en-US"/>
        </w:rPr>
        <w:t xml:space="preserve">report the comparable results for a model of violent conflict. </w:t>
      </w:r>
      <w:r w:rsidR="00C026A2" w:rsidRPr="00F26EF7">
        <w:rPr>
          <w:sz w:val="24"/>
          <w:szCs w:val="24"/>
          <w:lang w:val="en-US"/>
        </w:rPr>
        <w:t>These results lend no support fo</w:t>
      </w:r>
      <w:r w:rsidR="0026231C" w:rsidRPr="00F26EF7">
        <w:rPr>
          <w:sz w:val="24"/>
          <w:szCs w:val="24"/>
          <w:lang w:val="en-US"/>
        </w:rPr>
        <w:t>r the argument that IMF programs increase the risk of violent conflict onset</w:t>
      </w:r>
      <w:r w:rsidR="008C6C38">
        <w:rPr>
          <w:sz w:val="24"/>
          <w:szCs w:val="24"/>
          <w:lang w:val="en-US"/>
        </w:rPr>
        <w:t xml:space="preserve">. The coefficient is negative, </w:t>
      </w:r>
      <w:r w:rsidR="006A02C8" w:rsidRPr="00F26EF7">
        <w:rPr>
          <w:sz w:val="24"/>
          <w:szCs w:val="24"/>
          <w:lang w:val="en-US"/>
        </w:rPr>
        <w:t xml:space="preserve">although it is only </w:t>
      </w:r>
      <w:r w:rsidR="0026231C" w:rsidRPr="00F26EF7">
        <w:rPr>
          <w:sz w:val="24"/>
          <w:szCs w:val="24"/>
          <w:lang w:val="en-US"/>
        </w:rPr>
        <w:t>statistically significant</w:t>
      </w:r>
      <w:r w:rsidR="006A02C8" w:rsidRPr="00F26EF7">
        <w:rPr>
          <w:sz w:val="24"/>
          <w:szCs w:val="24"/>
          <w:lang w:val="en-US"/>
        </w:rPr>
        <w:t xml:space="preserve"> at the 0.10 level</w:t>
      </w:r>
      <w:r w:rsidR="0026231C" w:rsidRPr="00F26EF7">
        <w:rPr>
          <w:sz w:val="24"/>
          <w:szCs w:val="24"/>
          <w:lang w:val="en-US"/>
        </w:rPr>
        <w:t xml:space="preserve">. </w:t>
      </w:r>
      <w:r w:rsidR="001F3DF9" w:rsidRPr="00F26EF7">
        <w:rPr>
          <w:sz w:val="24"/>
          <w:szCs w:val="24"/>
          <w:lang w:val="en-US"/>
        </w:rPr>
        <w:t>In short, t</w:t>
      </w:r>
      <w:r w:rsidR="0026231C" w:rsidRPr="00F26EF7">
        <w:rPr>
          <w:sz w:val="24"/>
          <w:szCs w:val="24"/>
          <w:lang w:val="en-US"/>
        </w:rPr>
        <w:t xml:space="preserve">he results here </w:t>
      </w:r>
      <w:r w:rsidR="001F3DF9" w:rsidRPr="00F26EF7">
        <w:rPr>
          <w:sz w:val="24"/>
          <w:szCs w:val="24"/>
          <w:lang w:val="en-US"/>
        </w:rPr>
        <w:t xml:space="preserve">may be </w:t>
      </w:r>
      <w:r w:rsidR="008C6C38">
        <w:rPr>
          <w:sz w:val="24"/>
          <w:szCs w:val="24"/>
          <w:lang w:val="en-US"/>
        </w:rPr>
        <w:t>somewhat less conclusive. W</w:t>
      </w:r>
      <w:r w:rsidR="0026231C" w:rsidRPr="00F26EF7">
        <w:rPr>
          <w:sz w:val="24"/>
          <w:szCs w:val="24"/>
          <w:lang w:val="en-US"/>
        </w:rPr>
        <w:t xml:space="preserve">e find a similar sign reversal, </w:t>
      </w:r>
      <w:r w:rsidR="008C6C38">
        <w:rPr>
          <w:sz w:val="24"/>
          <w:szCs w:val="24"/>
          <w:lang w:val="en-US"/>
        </w:rPr>
        <w:t xml:space="preserve">but </w:t>
      </w:r>
      <w:r w:rsidR="001F3DF9" w:rsidRPr="00F26EF7">
        <w:rPr>
          <w:sz w:val="24"/>
          <w:szCs w:val="24"/>
          <w:lang w:val="en-US"/>
        </w:rPr>
        <w:t xml:space="preserve">the </w:t>
      </w:r>
      <w:r w:rsidRPr="00F26EF7">
        <w:rPr>
          <w:sz w:val="24"/>
          <w:szCs w:val="24"/>
          <w:lang w:val="en-US"/>
        </w:rPr>
        <w:t xml:space="preserve">evidence for selection </w:t>
      </w:r>
      <w:r w:rsidR="0026231C" w:rsidRPr="00F26EF7">
        <w:rPr>
          <w:sz w:val="24"/>
          <w:szCs w:val="24"/>
          <w:lang w:val="en-US"/>
        </w:rPr>
        <w:t xml:space="preserve">between the two equations is weaker in the sense that the estimated </w:t>
      </w:r>
      <w:r w:rsidRPr="00F26EF7">
        <w:rPr>
          <w:sz w:val="24"/>
          <w:szCs w:val="24"/>
          <w:lang w:val="en-US"/>
        </w:rPr>
        <w:t xml:space="preserve">correlation between the residuals is </w:t>
      </w:r>
      <w:r w:rsidR="008C6C38">
        <w:rPr>
          <w:sz w:val="24"/>
          <w:szCs w:val="24"/>
          <w:lang w:val="en-US"/>
        </w:rPr>
        <w:t xml:space="preserve">lower, </w:t>
      </w:r>
      <w:r w:rsidR="001F3DF9" w:rsidRPr="00F26EF7">
        <w:rPr>
          <w:sz w:val="24"/>
          <w:szCs w:val="24"/>
          <w:lang w:val="en-US"/>
        </w:rPr>
        <w:t xml:space="preserve">although it remains </w:t>
      </w:r>
      <w:r w:rsidRPr="00F26EF7">
        <w:rPr>
          <w:sz w:val="24"/>
          <w:szCs w:val="24"/>
          <w:lang w:val="en-US"/>
        </w:rPr>
        <w:t xml:space="preserve">statistically significant. </w:t>
      </w:r>
      <w:r w:rsidR="00725C1F" w:rsidRPr="00F26EF7">
        <w:rPr>
          <w:sz w:val="24"/>
          <w:szCs w:val="24"/>
          <w:lang w:val="en-US"/>
        </w:rPr>
        <w:t>Note that a</w:t>
      </w:r>
      <w:r w:rsidR="0026231C" w:rsidRPr="00F26EF7">
        <w:rPr>
          <w:sz w:val="24"/>
          <w:szCs w:val="24"/>
          <w:lang w:val="en-US"/>
        </w:rPr>
        <w:t xml:space="preserve">lthough the predictors for IMF programs are the same, the residuals in the second equation for conflict onset will depend on the specific type of response, and the lower correlation for violent conflict may reflect that violent </w:t>
      </w:r>
      <w:r w:rsidR="00CE552A" w:rsidRPr="00F26EF7">
        <w:rPr>
          <w:sz w:val="24"/>
          <w:szCs w:val="24"/>
          <w:lang w:val="en-US"/>
        </w:rPr>
        <w:t xml:space="preserve">conflict </w:t>
      </w:r>
      <w:r w:rsidR="00321E45" w:rsidRPr="00F26EF7">
        <w:rPr>
          <w:sz w:val="24"/>
          <w:szCs w:val="24"/>
          <w:lang w:val="en-US"/>
        </w:rPr>
        <w:t xml:space="preserve">is </w:t>
      </w:r>
      <w:r w:rsidR="0026231C" w:rsidRPr="00F26EF7">
        <w:rPr>
          <w:sz w:val="24"/>
          <w:szCs w:val="24"/>
          <w:lang w:val="en-US"/>
        </w:rPr>
        <w:t xml:space="preserve">ultimately less clearly related to the economic factors associated with decisions to initiate IMF programs. </w:t>
      </w:r>
    </w:p>
    <w:p w14:paraId="5ACAE269" w14:textId="13C4A10E" w:rsidR="00783B23" w:rsidRPr="00F26EF7" w:rsidRDefault="004A2F7D">
      <w:pPr>
        <w:rPr>
          <w:sz w:val="24"/>
          <w:szCs w:val="24"/>
          <w:lang w:val="en-US"/>
        </w:rPr>
      </w:pPr>
      <w:r w:rsidRPr="00F26EF7">
        <w:rPr>
          <w:sz w:val="24"/>
          <w:szCs w:val="24"/>
          <w:lang w:val="en-US"/>
        </w:rPr>
        <w:t xml:space="preserve">The results </w:t>
      </w:r>
      <w:r w:rsidR="008C6C38">
        <w:rPr>
          <w:sz w:val="24"/>
          <w:szCs w:val="24"/>
          <w:lang w:val="en-US"/>
        </w:rPr>
        <w:t xml:space="preserve">support </w:t>
      </w:r>
      <w:r w:rsidRPr="00F26EF7">
        <w:rPr>
          <w:sz w:val="24"/>
          <w:szCs w:val="24"/>
          <w:lang w:val="en-US"/>
        </w:rPr>
        <w:t xml:space="preserve">our theoretical expectation that economic crises increase the mobilization potential in societies, </w:t>
      </w:r>
      <w:r w:rsidR="008C6C38">
        <w:rPr>
          <w:sz w:val="24"/>
          <w:szCs w:val="24"/>
          <w:lang w:val="en-US"/>
        </w:rPr>
        <w:t xml:space="preserve">but </w:t>
      </w:r>
      <w:r w:rsidRPr="00F26EF7">
        <w:rPr>
          <w:sz w:val="24"/>
          <w:szCs w:val="24"/>
          <w:lang w:val="en-US"/>
        </w:rPr>
        <w:t xml:space="preserve">IMF interventions </w:t>
      </w:r>
      <w:r w:rsidR="007E7389">
        <w:rPr>
          <w:sz w:val="24"/>
          <w:szCs w:val="24"/>
          <w:lang w:val="en-US"/>
        </w:rPr>
        <w:t>and i</w:t>
      </w:r>
      <w:r w:rsidRPr="00F26EF7">
        <w:rPr>
          <w:sz w:val="24"/>
          <w:szCs w:val="24"/>
          <w:lang w:val="en-US"/>
        </w:rPr>
        <w:t xml:space="preserve">nternational financial assistance </w:t>
      </w:r>
      <w:r w:rsidR="007E7389">
        <w:rPr>
          <w:sz w:val="24"/>
          <w:szCs w:val="24"/>
          <w:lang w:val="en-US"/>
        </w:rPr>
        <w:t>actually stabilize</w:t>
      </w:r>
      <w:r w:rsidRPr="00F26EF7">
        <w:rPr>
          <w:sz w:val="24"/>
          <w:szCs w:val="24"/>
          <w:lang w:val="en-US"/>
        </w:rPr>
        <w:t xml:space="preserve"> </w:t>
      </w:r>
      <w:r w:rsidR="00FA49F8" w:rsidRPr="00F26EF7">
        <w:rPr>
          <w:sz w:val="24"/>
          <w:szCs w:val="24"/>
          <w:lang w:val="en-US"/>
        </w:rPr>
        <w:t xml:space="preserve">societies in the short-term, even if </w:t>
      </w:r>
      <w:r w:rsidR="00C44178" w:rsidRPr="00F26EF7">
        <w:rPr>
          <w:sz w:val="24"/>
          <w:szCs w:val="24"/>
          <w:lang w:val="en-US"/>
        </w:rPr>
        <w:t xml:space="preserve">the agreement of the participating governments to implement austerity measures and other reforms </w:t>
      </w:r>
      <w:r w:rsidR="00FA49F8" w:rsidRPr="00F26EF7">
        <w:rPr>
          <w:sz w:val="24"/>
          <w:szCs w:val="24"/>
          <w:lang w:val="en-US"/>
        </w:rPr>
        <w:t xml:space="preserve">may </w:t>
      </w:r>
      <w:r w:rsidR="00C44178" w:rsidRPr="00F26EF7">
        <w:rPr>
          <w:sz w:val="24"/>
          <w:szCs w:val="24"/>
          <w:lang w:val="en-US"/>
        </w:rPr>
        <w:t xml:space="preserve">hurt the interests of </w:t>
      </w:r>
      <w:r w:rsidR="00E721EF" w:rsidRPr="00F26EF7">
        <w:rPr>
          <w:sz w:val="24"/>
          <w:szCs w:val="24"/>
          <w:lang w:val="en-US"/>
        </w:rPr>
        <w:t xml:space="preserve">considerable shares </w:t>
      </w:r>
      <w:r w:rsidR="00C44178" w:rsidRPr="00F26EF7">
        <w:rPr>
          <w:sz w:val="24"/>
          <w:szCs w:val="24"/>
          <w:lang w:val="en-US"/>
        </w:rPr>
        <w:t xml:space="preserve">of the society. One reason why </w:t>
      </w:r>
      <w:r w:rsidR="000D4CD5" w:rsidRPr="00F26EF7">
        <w:rPr>
          <w:sz w:val="24"/>
          <w:szCs w:val="24"/>
          <w:lang w:val="en-US"/>
        </w:rPr>
        <w:t xml:space="preserve">social costs of the </w:t>
      </w:r>
      <w:r w:rsidR="00C44178" w:rsidRPr="00F26EF7">
        <w:rPr>
          <w:sz w:val="24"/>
          <w:szCs w:val="24"/>
          <w:lang w:val="en-US"/>
        </w:rPr>
        <w:t xml:space="preserve">reform do not outweigh the fiscal relief </w:t>
      </w:r>
      <w:r w:rsidR="000D4CD5" w:rsidRPr="00F26EF7">
        <w:rPr>
          <w:sz w:val="24"/>
          <w:szCs w:val="24"/>
          <w:lang w:val="en-US"/>
        </w:rPr>
        <w:t>of the related</w:t>
      </w:r>
      <w:r w:rsidR="00C44178" w:rsidRPr="00F26EF7">
        <w:rPr>
          <w:sz w:val="24"/>
          <w:szCs w:val="24"/>
          <w:lang w:val="en-US"/>
        </w:rPr>
        <w:t xml:space="preserve"> IMF credits might be that the restrictive measures of the rescue packages </w:t>
      </w:r>
      <w:r w:rsidR="002F24D6" w:rsidRPr="00F26EF7">
        <w:rPr>
          <w:sz w:val="24"/>
          <w:szCs w:val="24"/>
          <w:lang w:val="en-US"/>
        </w:rPr>
        <w:t xml:space="preserve">are carried out at a later stage, if they are </w:t>
      </w:r>
      <w:r w:rsidR="00C44178" w:rsidRPr="00F26EF7">
        <w:rPr>
          <w:sz w:val="24"/>
          <w:szCs w:val="24"/>
          <w:lang w:val="en-US"/>
        </w:rPr>
        <w:t xml:space="preserve">implemented </w:t>
      </w:r>
      <w:r w:rsidR="002F24D6" w:rsidRPr="00F26EF7">
        <w:rPr>
          <w:sz w:val="24"/>
          <w:szCs w:val="24"/>
          <w:lang w:val="en-US"/>
        </w:rPr>
        <w:t xml:space="preserve">at all. Arpac, Bird and Mandilaras (2008) demonstrate that trade openness, the influence of veto players </w:t>
      </w:r>
      <w:r w:rsidR="00D15BD7" w:rsidRPr="00F26EF7">
        <w:rPr>
          <w:sz w:val="24"/>
          <w:szCs w:val="24"/>
          <w:lang w:val="en-US"/>
        </w:rPr>
        <w:t>and modest resources allocated by the fund to a country in need increase the risk of irreversible reform implementation.</w:t>
      </w:r>
      <w:r w:rsidR="005C7C30" w:rsidRPr="00F26EF7">
        <w:rPr>
          <w:sz w:val="24"/>
          <w:szCs w:val="24"/>
          <w:lang w:val="en-US"/>
        </w:rPr>
        <w:t xml:space="preserve"> </w:t>
      </w:r>
      <w:r w:rsidR="00C344FA" w:rsidRPr="00F26EF7">
        <w:rPr>
          <w:sz w:val="24"/>
          <w:szCs w:val="24"/>
          <w:lang w:val="en-US"/>
        </w:rPr>
        <w:t>Güven (2012</w:t>
      </w:r>
      <w:r w:rsidR="007943AB">
        <w:rPr>
          <w:sz w:val="24"/>
          <w:szCs w:val="24"/>
          <w:lang w:val="en-US"/>
        </w:rPr>
        <w:t>, see also Chapman et al. 2017</w:t>
      </w:r>
      <w:r w:rsidR="00C344FA" w:rsidRPr="00F26EF7">
        <w:rPr>
          <w:sz w:val="24"/>
          <w:szCs w:val="24"/>
          <w:lang w:val="en-US"/>
        </w:rPr>
        <w:t>) maintains that powerful IMF “clients” can cherry-pick reform strategy, partly reflect</w:t>
      </w:r>
      <w:r w:rsidR="00C268A6">
        <w:rPr>
          <w:sz w:val="24"/>
          <w:szCs w:val="24"/>
          <w:lang w:val="en-US"/>
        </w:rPr>
        <w:t>ing</w:t>
      </w:r>
      <w:r w:rsidR="00C344FA" w:rsidRPr="00F26EF7">
        <w:rPr>
          <w:sz w:val="24"/>
          <w:szCs w:val="24"/>
          <w:lang w:val="en-US"/>
        </w:rPr>
        <w:t xml:space="preserve"> </w:t>
      </w:r>
      <w:r w:rsidR="00C268A6">
        <w:rPr>
          <w:sz w:val="24"/>
          <w:szCs w:val="24"/>
          <w:lang w:val="en-US"/>
        </w:rPr>
        <w:t xml:space="preserve">the </w:t>
      </w:r>
      <w:r w:rsidR="00C344FA" w:rsidRPr="00F26EF7">
        <w:rPr>
          <w:sz w:val="24"/>
          <w:szCs w:val="24"/>
          <w:lang w:val="en-US"/>
        </w:rPr>
        <w:t xml:space="preserve">different macro-economic experiences </w:t>
      </w:r>
      <w:r w:rsidR="00616D86" w:rsidRPr="00F26EF7">
        <w:rPr>
          <w:sz w:val="24"/>
          <w:szCs w:val="24"/>
          <w:lang w:val="en-US"/>
        </w:rPr>
        <w:t>before the onset of a crisis</w:t>
      </w:r>
      <w:r w:rsidR="00C344FA" w:rsidRPr="00F26EF7">
        <w:rPr>
          <w:sz w:val="24"/>
          <w:szCs w:val="24"/>
          <w:lang w:val="en-US"/>
        </w:rPr>
        <w:t xml:space="preserve">. </w:t>
      </w:r>
    </w:p>
    <w:p w14:paraId="5533C153" w14:textId="79635CD1" w:rsidR="00F405BC" w:rsidRPr="00F26EF7" w:rsidRDefault="00783B23">
      <w:pPr>
        <w:rPr>
          <w:sz w:val="24"/>
          <w:szCs w:val="24"/>
          <w:lang w:val="en-US"/>
        </w:rPr>
      </w:pPr>
      <w:r w:rsidRPr="00F26EF7">
        <w:rPr>
          <w:sz w:val="24"/>
          <w:szCs w:val="24"/>
          <w:lang w:val="en-US"/>
        </w:rPr>
        <w:t xml:space="preserve">A second important finding of our analysis is the rejection of the conjecture that IMF rescue packages instigate </w:t>
      </w:r>
      <w:r w:rsidR="00B568DA" w:rsidRPr="00F26EF7">
        <w:rPr>
          <w:sz w:val="24"/>
          <w:szCs w:val="24"/>
          <w:lang w:val="en-US"/>
        </w:rPr>
        <w:t xml:space="preserve">internal </w:t>
      </w:r>
      <w:r w:rsidR="00EB00E7" w:rsidRPr="00F26EF7">
        <w:rPr>
          <w:sz w:val="24"/>
          <w:szCs w:val="24"/>
          <w:lang w:val="en-US"/>
        </w:rPr>
        <w:t xml:space="preserve">violence and </w:t>
      </w:r>
      <w:r w:rsidR="00B568DA" w:rsidRPr="00F26EF7">
        <w:rPr>
          <w:sz w:val="24"/>
          <w:szCs w:val="24"/>
          <w:lang w:val="en-US"/>
        </w:rPr>
        <w:t>war.</w:t>
      </w:r>
      <w:r w:rsidR="00616D86" w:rsidRPr="00F26EF7">
        <w:rPr>
          <w:sz w:val="24"/>
          <w:szCs w:val="24"/>
          <w:lang w:val="en-US"/>
        </w:rPr>
        <w:t xml:space="preserve"> Hartzel, Hoddie and Bauer</w:t>
      </w:r>
      <w:r w:rsidR="008C4EA3" w:rsidRPr="00F26EF7">
        <w:rPr>
          <w:sz w:val="24"/>
          <w:szCs w:val="24"/>
          <w:lang w:val="en-US"/>
        </w:rPr>
        <w:t>’s</w:t>
      </w:r>
      <w:r w:rsidR="00616D86" w:rsidRPr="00F26EF7">
        <w:rPr>
          <w:sz w:val="24"/>
          <w:szCs w:val="24"/>
          <w:lang w:val="en-US"/>
        </w:rPr>
        <w:t xml:space="preserve"> </w:t>
      </w:r>
      <w:r w:rsidR="00B568DA" w:rsidRPr="00F26EF7">
        <w:rPr>
          <w:sz w:val="24"/>
          <w:szCs w:val="24"/>
          <w:lang w:val="en-US"/>
        </w:rPr>
        <w:t>(</w:t>
      </w:r>
      <w:r w:rsidR="00616D86" w:rsidRPr="00F26EF7">
        <w:rPr>
          <w:sz w:val="24"/>
          <w:szCs w:val="24"/>
          <w:lang w:val="en-US"/>
        </w:rPr>
        <w:t>2010)</w:t>
      </w:r>
      <w:r w:rsidR="00B568DA" w:rsidRPr="00F26EF7">
        <w:rPr>
          <w:sz w:val="24"/>
          <w:szCs w:val="24"/>
          <w:lang w:val="en-US"/>
        </w:rPr>
        <w:t xml:space="preserve"> influential article </w:t>
      </w:r>
      <w:r w:rsidR="008C4EA3" w:rsidRPr="00F26EF7">
        <w:rPr>
          <w:sz w:val="24"/>
          <w:szCs w:val="24"/>
          <w:lang w:val="en-US"/>
        </w:rPr>
        <w:t>appears to provide</w:t>
      </w:r>
      <w:r w:rsidR="00B568DA" w:rsidRPr="00F26EF7">
        <w:rPr>
          <w:sz w:val="24"/>
          <w:szCs w:val="24"/>
          <w:lang w:val="en-US"/>
        </w:rPr>
        <w:t xml:space="preserve"> empirical evidence in favor of the anti-globalization conje</w:t>
      </w:r>
      <w:r w:rsidR="00C535BF" w:rsidRPr="00F26EF7">
        <w:rPr>
          <w:sz w:val="24"/>
          <w:szCs w:val="24"/>
          <w:lang w:val="en-US"/>
        </w:rPr>
        <w:t xml:space="preserve">cture </w:t>
      </w:r>
      <w:r w:rsidR="00B568DA" w:rsidRPr="00F26EF7">
        <w:rPr>
          <w:sz w:val="24"/>
          <w:szCs w:val="24"/>
          <w:lang w:val="en-US"/>
        </w:rPr>
        <w:t xml:space="preserve">that the austerity measures prescribed by the IMF and other international actors </w:t>
      </w:r>
      <w:r w:rsidR="00597306">
        <w:rPr>
          <w:sz w:val="24"/>
          <w:szCs w:val="24"/>
          <w:lang w:val="en-US"/>
        </w:rPr>
        <w:t xml:space="preserve">incites </w:t>
      </w:r>
      <w:r w:rsidR="008C74F6" w:rsidRPr="00F26EF7">
        <w:rPr>
          <w:sz w:val="24"/>
          <w:szCs w:val="24"/>
          <w:lang w:val="en-US"/>
        </w:rPr>
        <w:t>vio</w:t>
      </w:r>
      <w:r w:rsidR="00597306">
        <w:rPr>
          <w:sz w:val="24"/>
          <w:szCs w:val="24"/>
          <w:lang w:val="en-US"/>
        </w:rPr>
        <w:t>lent</w:t>
      </w:r>
      <w:r w:rsidR="008C74F6" w:rsidRPr="00F26EF7">
        <w:rPr>
          <w:sz w:val="24"/>
          <w:szCs w:val="24"/>
          <w:lang w:val="en-US"/>
        </w:rPr>
        <w:t xml:space="preserve"> </w:t>
      </w:r>
      <w:r w:rsidR="008C74F6" w:rsidRPr="00F26EF7">
        <w:rPr>
          <w:sz w:val="24"/>
          <w:szCs w:val="24"/>
          <w:lang w:val="en-US"/>
        </w:rPr>
        <w:lastRenderedPageBreak/>
        <w:t>conflict</w:t>
      </w:r>
      <w:r w:rsidR="00597306">
        <w:rPr>
          <w:sz w:val="24"/>
          <w:szCs w:val="24"/>
          <w:lang w:val="en-US"/>
        </w:rPr>
        <w:t xml:space="preserve"> </w:t>
      </w:r>
      <w:r w:rsidR="00597306" w:rsidRPr="00F26EF7">
        <w:rPr>
          <w:sz w:val="24"/>
          <w:szCs w:val="24"/>
          <w:lang w:val="en-US"/>
        </w:rPr>
        <w:t>(</w:t>
      </w:r>
      <w:r w:rsidR="00597306">
        <w:rPr>
          <w:sz w:val="24"/>
          <w:szCs w:val="24"/>
          <w:lang w:val="en-US"/>
        </w:rPr>
        <w:t xml:space="preserve">see </w:t>
      </w:r>
      <w:r w:rsidR="00597306" w:rsidRPr="00F26EF7">
        <w:rPr>
          <w:sz w:val="24"/>
          <w:szCs w:val="24"/>
          <w:lang w:val="en-US"/>
        </w:rPr>
        <w:t>Chua 2002, Klein 2007)</w:t>
      </w:r>
      <w:r w:rsidR="008C74F6" w:rsidRPr="00F26EF7">
        <w:rPr>
          <w:sz w:val="24"/>
          <w:szCs w:val="24"/>
          <w:lang w:val="en-US"/>
        </w:rPr>
        <w:t xml:space="preserve">. </w:t>
      </w:r>
      <w:r w:rsidR="00B568DA" w:rsidRPr="00F26EF7">
        <w:rPr>
          <w:sz w:val="24"/>
          <w:szCs w:val="24"/>
          <w:lang w:val="en-US"/>
        </w:rPr>
        <w:t xml:space="preserve">Midtgård, Vadlamannati and de Soysa (2014) have already </w:t>
      </w:r>
      <w:r w:rsidR="008C74F6" w:rsidRPr="00F26EF7">
        <w:rPr>
          <w:sz w:val="24"/>
          <w:szCs w:val="24"/>
          <w:lang w:val="en-US"/>
        </w:rPr>
        <w:t>raised concerns over the robustness of the finding</w:t>
      </w:r>
      <w:r w:rsidR="00B568DA" w:rsidRPr="00F26EF7">
        <w:rPr>
          <w:sz w:val="24"/>
          <w:szCs w:val="24"/>
          <w:lang w:val="en-US"/>
        </w:rPr>
        <w:t xml:space="preserve">, </w:t>
      </w:r>
      <w:r w:rsidR="00627C67">
        <w:rPr>
          <w:sz w:val="24"/>
          <w:szCs w:val="24"/>
          <w:lang w:val="en-US"/>
        </w:rPr>
        <w:t xml:space="preserve">but </w:t>
      </w:r>
      <w:r w:rsidR="00B568DA" w:rsidRPr="00F26EF7">
        <w:rPr>
          <w:sz w:val="24"/>
          <w:szCs w:val="24"/>
          <w:lang w:val="en-US"/>
        </w:rPr>
        <w:t>our study is the first to properly identify IMF interventions</w:t>
      </w:r>
      <w:r w:rsidR="00C268A6">
        <w:rPr>
          <w:sz w:val="24"/>
          <w:szCs w:val="24"/>
          <w:lang w:val="en-US"/>
        </w:rPr>
        <w:t>, consider both violent and nonviolent conflict,</w:t>
      </w:r>
      <w:r w:rsidR="00627C67">
        <w:rPr>
          <w:sz w:val="24"/>
          <w:szCs w:val="24"/>
          <w:lang w:val="en-US"/>
        </w:rPr>
        <w:t xml:space="preserve"> and show that </w:t>
      </w:r>
      <w:r w:rsidR="00B568DA" w:rsidRPr="00F26EF7">
        <w:rPr>
          <w:sz w:val="24"/>
          <w:szCs w:val="24"/>
          <w:lang w:val="en-US"/>
        </w:rPr>
        <w:t xml:space="preserve">IMF interventions </w:t>
      </w:r>
      <w:r w:rsidR="00627C67">
        <w:rPr>
          <w:sz w:val="24"/>
          <w:szCs w:val="24"/>
          <w:lang w:val="en-US"/>
        </w:rPr>
        <w:t xml:space="preserve">can </w:t>
      </w:r>
      <w:r w:rsidR="00B568DA" w:rsidRPr="00F26EF7">
        <w:rPr>
          <w:sz w:val="24"/>
          <w:szCs w:val="24"/>
          <w:lang w:val="en-US"/>
        </w:rPr>
        <w:t xml:space="preserve">appease rather than destabilize societies in the short-run through the inflow of credit. </w:t>
      </w:r>
    </w:p>
    <w:p w14:paraId="3872A948" w14:textId="73ECA9BF" w:rsidR="00283513" w:rsidRPr="00F26EF7" w:rsidRDefault="00E721EF" w:rsidP="002B2780">
      <w:pPr>
        <w:rPr>
          <w:sz w:val="24"/>
          <w:szCs w:val="24"/>
          <w:lang w:val="en-US"/>
        </w:rPr>
      </w:pPr>
      <w:r w:rsidRPr="00F26EF7">
        <w:rPr>
          <w:sz w:val="24"/>
          <w:szCs w:val="24"/>
          <w:lang w:val="en-US"/>
        </w:rPr>
        <w:t>Several cases support this macro-political evidence.</w:t>
      </w:r>
      <w:r w:rsidR="00657E6F" w:rsidRPr="00F26EF7">
        <w:rPr>
          <w:sz w:val="24"/>
          <w:szCs w:val="24"/>
          <w:lang w:val="en-US"/>
        </w:rPr>
        <w:t xml:space="preserve"> </w:t>
      </w:r>
      <w:r w:rsidR="00D67899">
        <w:rPr>
          <w:sz w:val="24"/>
          <w:szCs w:val="24"/>
          <w:lang w:val="en-US"/>
        </w:rPr>
        <w:t>Yugoslavia (</w:t>
      </w:r>
      <w:r w:rsidR="00C35276">
        <w:rPr>
          <w:sz w:val="24"/>
          <w:szCs w:val="24"/>
          <w:lang w:val="en-US"/>
        </w:rPr>
        <w:t>Serbia</w:t>
      </w:r>
      <w:r w:rsidR="00D67899">
        <w:rPr>
          <w:sz w:val="24"/>
          <w:szCs w:val="24"/>
          <w:lang w:val="en-US"/>
        </w:rPr>
        <w:t>)</w:t>
      </w:r>
      <w:r w:rsidR="00C35276">
        <w:rPr>
          <w:sz w:val="24"/>
          <w:szCs w:val="24"/>
          <w:lang w:val="en-US"/>
        </w:rPr>
        <w:t xml:space="preserve">, </w:t>
      </w:r>
      <w:r w:rsidR="00D67899">
        <w:rPr>
          <w:sz w:val="24"/>
          <w:szCs w:val="24"/>
          <w:lang w:val="en-US"/>
        </w:rPr>
        <w:t xml:space="preserve">cited </w:t>
      </w:r>
      <w:r w:rsidR="00657E6F" w:rsidRPr="00F26EF7">
        <w:rPr>
          <w:sz w:val="24"/>
          <w:szCs w:val="24"/>
          <w:lang w:val="en-US"/>
        </w:rPr>
        <w:t xml:space="preserve">in the beginning of this article, illustrates how rescue measures of the International Monetary Fund </w:t>
      </w:r>
      <w:r w:rsidR="007B57FA">
        <w:rPr>
          <w:sz w:val="24"/>
          <w:szCs w:val="24"/>
          <w:lang w:val="en-US"/>
        </w:rPr>
        <w:t xml:space="preserve">can </w:t>
      </w:r>
      <w:r w:rsidR="00657E6F" w:rsidRPr="00F26EF7">
        <w:rPr>
          <w:sz w:val="24"/>
          <w:szCs w:val="24"/>
          <w:lang w:val="en-US"/>
        </w:rPr>
        <w:t xml:space="preserve">ease the social tensions within a country despite the austerity measures that go along with the inflow of fresh capital. </w:t>
      </w:r>
      <w:r w:rsidR="00510AAA" w:rsidRPr="00F26EF7">
        <w:rPr>
          <w:sz w:val="24"/>
          <w:szCs w:val="24"/>
          <w:lang w:val="en-US"/>
        </w:rPr>
        <w:t xml:space="preserve">An IMF loan and </w:t>
      </w:r>
      <w:r w:rsidR="00047301" w:rsidRPr="00F26EF7">
        <w:rPr>
          <w:sz w:val="24"/>
          <w:szCs w:val="24"/>
          <w:lang w:val="en-US"/>
        </w:rPr>
        <w:t xml:space="preserve">a </w:t>
      </w:r>
      <w:r w:rsidR="00510AAA" w:rsidRPr="00F26EF7">
        <w:rPr>
          <w:sz w:val="24"/>
          <w:szCs w:val="24"/>
          <w:lang w:val="en-US"/>
        </w:rPr>
        <w:t xml:space="preserve">U.S. bridge loan </w:t>
      </w:r>
      <w:r w:rsidR="007B57FA">
        <w:rPr>
          <w:sz w:val="24"/>
          <w:szCs w:val="24"/>
          <w:lang w:val="en-US"/>
        </w:rPr>
        <w:t xml:space="preserve">similarly </w:t>
      </w:r>
      <w:r w:rsidR="00510AAA" w:rsidRPr="00F26EF7">
        <w:rPr>
          <w:sz w:val="24"/>
          <w:szCs w:val="24"/>
          <w:lang w:val="en-US"/>
        </w:rPr>
        <w:t xml:space="preserve">helped </w:t>
      </w:r>
      <w:r w:rsidR="007B57FA">
        <w:rPr>
          <w:sz w:val="24"/>
          <w:szCs w:val="24"/>
          <w:lang w:val="en-US"/>
        </w:rPr>
        <w:t xml:space="preserve">the </w:t>
      </w:r>
      <w:r w:rsidR="00510AAA" w:rsidRPr="00F26EF7">
        <w:rPr>
          <w:sz w:val="24"/>
          <w:szCs w:val="24"/>
          <w:lang w:val="en-US"/>
        </w:rPr>
        <w:t>fledgling Uruguay</w:t>
      </w:r>
      <w:r w:rsidR="007B57FA">
        <w:rPr>
          <w:sz w:val="24"/>
          <w:szCs w:val="24"/>
          <w:lang w:val="en-US"/>
        </w:rPr>
        <w:t>an economy</w:t>
      </w:r>
      <w:r w:rsidR="00510AAA" w:rsidRPr="00F26EF7">
        <w:rPr>
          <w:sz w:val="24"/>
          <w:szCs w:val="24"/>
          <w:lang w:val="en-US"/>
        </w:rPr>
        <w:t xml:space="preserve"> to recover relatively soon after the banking crisis </w:t>
      </w:r>
      <w:r w:rsidR="003E5DB6" w:rsidRPr="00F26EF7">
        <w:rPr>
          <w:sz w:val="24"/>
          <w:szCs w:val="24"/>
          <w:lang w:val="en-US"/>
        </w:rPr>
        <w:t xml:space="preserve">of July 2002 </w:t>
      </w:r>
      <w:r w:rsidR="00510AAA" w:rsidRPr="00F26EF7">
        <w:rPr>
          <w:sz w:val="24"/>
          <w:szCs w:val="24"/>
          <w:lang w:val="en-US"/>
        </w:rPr>
        <w:t>that followed</w:t>
      </w:r>
      <w:r w:rsidR="00047301" w:rsidRPr="00F26EF7">
        <w:rPr>
          <w:sz w:val="24"/>
          <w:szCs w:val="24"/>
          <w:lang w:val="en-US"/>
        </w:rPr>
        <w:t xml:space="preserve"> after  the </w:t>
      </w:r>
      <w:r w:rsidR="00510AAA" w:rsidRPr="00F26EF7">
        <w:rPr>
          <w:sz w:val="24"/>
          <w:szCs w:val="24"/>
          <w:lang w:val="en-US"/>
        </w:rPr>
        <w:t xml:space="preserve"> devaluations of the Brazilian Real and the Argentinean Peso in 1999 and 2001</w:t>
      </w:r>
      <w:r w:rsidR="00047301" w:rsidRPr="00F26EF7">
        <w:rPr>
          <w:sz w:val="24"/>
          <w:szCs w:val="24"/>
          <w:lang w:val="en-US"/>
        </w:rPr>
        <w:t xml:space="preserve">, </w:t>
      </w:r>
      <w:r w:rsidR="00E3297B" w:rsidRPr="00F26EF7">
        <w:rPr>
          <w:sz w:val="24"/>
          <w:szCs w:val="24"/>
          <w:lang w:val="en-US"/>
        </w:rPr>
        <w:t>reduc</w:t>
      </w:r>
      <w:r w:rsidR="00047301" w:rsidRPr="00F26EF7">
        <w:rPr>
          <w:sz w:val="24"/>
          <w:szCs w:val="24"/>
          <w:lang w:val="en-US"/>
        </w:rPr>
        <w:t>ing</w:t>
      </w:r>
      <w:r w:rsidR="00E3297B" w:rsidRPr="00F26EF7">
        <w:rPr>
          <w:sz w:val="24"/>
          <w:szCs w:val="24"/>
          <w:lang w:val="en-US"/>
        </w:rPr>
        <w:t xml:space="preserve"> </w:t>
      </w:r>
      <w:r w:rsidR="003E5DB6" w:rsidRPr="00F26EF7">
        <w:rPr>
          <w:sz w:val="24"/>
          <w:szCs w:val="24"/>
          <w:lang w:val="en-US"/>
        </w:rPr>
        <w:t>the GDP of the Latin American country by more than 10%</w:t>
      </w:r>
      <w:r w:rsidR="00510AAA" w:rsidRPr="00F26EF7">
        <w:rPr>
          <w:sz w:val="24"/>
          <w:szCs w:val="24"/>
          <w:lang w:val="en-US"/>
        </w:rPr>
        <w:t>. Taylor (2007</w:t>
      </w:r>
      <w:r w:rsidR="00E3297B" w:rsidRPr="00F26EF7">
        <w:rPr>
          <w:sz w:val="24"/>
          <w:szCs w:val="24"/>
          <w:lang w:val="en-US"/>
        </w:rPr>
        <w:t>: 95</w:t>
      </w:r>
      <w:r w:rsidR="00510AAA" w:rsidRPr="00F26EF7">
        <w:rPr>
          <w:sz w:val="24"/>
          <w:szCs w:val="24"/>
          <w:lang w:val="en-US"/>
        </w:rPr>
        <w:t>)</w:t>
      </w:r>
      <w:r w:rsidR="00564529" w:rsidRPr="00F26EF7">
        <w:rPr>
          <w:sz w:val="24"/>
          <w:szCs w:val="24"/>
          <w:lang w:val="en-US"/>
        </w:rPr>
        <w:t xml:space="preserve">, who was acting in this period as Under Secretary of the Treasury for International Affairs in the Bush administration, </w:t>
      </w:r>
      <w:r w:rsidR="003E5DB6" w:rsidRPr="00F26EF7">
        <w:rPr>
          <w:sz w:val="24"/>
          <w:szCs w:val="24"/>
          <w:lang w:val="en-US"/>
        </w:rPr>
        <w:t xml:space="preserve">attributes the success of these measures </w:t>
      </w:r>
      <w:r w:rsidR="007B57FA">
        <w:rPr>
          <w:sz w:val="24"/>
          <w:szCs w:val="24"/>
          <w:lang w:val="en-US"/>
        </w:rPr>
        <w:t xml:space="preserve">in part </w:t>
      </w:r>
      <w:r w:rsidR="00564529" w:rsidRPr="00F26EF7">
        <w:rPr>
          <w:sz w:val="24"/>
          <w:szCs w:val="24"/>
          <w:lang w:val="en-US"/>
        </w:rPr>
        <w:t>to his ability to convince the IMF to move away from its demand to restructure the Uruguayan debt massively</w:t>
      </w:r>
      <w:r w:rsidR="00E3297B" w:rsidRPr="00F26EF7">
        <w:rPr>
          <w:sz w:val="24"/>
          <w:szCs w:val="24"/>
          <w:lang w:val="en-US"/>
        </w:rPr>
        <w:t xml:space="preserve">: “The rapid </w:t>
      </w:r>
      <w:r w:rsidR="00F94D5F" w:rsidRPr="00F26EF7">
        <w:rPr>
          <w:sz w:val="24"/>
          <w:szCs w:val="24"/>
          <w:lang w:val="en-US"/>
        </w:rPr>
        <w:t>provision of financial support bolstered confidence and enabled Uruguay to reopen the ban</w:t>
      </w:r>
      <w:r w:rsidR="00283513" w:rsidRPr="00F26EF7">
        <w:rPr>
          <w:sz w:val="24"/>
          <w:szCs w:val="24"/>
          <w:lang w:val="en-US"/>
        </w:rPr>
        <w:t>k</w:t>
      </w:r>
      <w:r w:rsidR="00F94D5F" w:rsidRPr="00F26EF7">
        <w:rPr>
          <w:sz w:val="24"/>
          <w:szCs w:val="24"/>
          <w:lang w:val="en-US"/>
        </w:rPr>
        <w:t>s without a resumption of the bank run”</w:t>
      </w:r>
      <w:r w:rsidR="00564529" w:rsidRPr="00F26EF7">
        <w:rPr>
          <w:sz w:val="24"/>
          <w:szCs w:val="24"/>
          <w:lang w:val="en-US"/>
        </w:rPr>
        <w:t>.</w:t>
      </w:r>
      <w:r w:rsidR="003E5DB6" w:rsidRPr="00F26EF7">
        <w:rPr>
          <w:sz w:val="24"/>
          <w:szCs w:val="24"/>
          <w:lang w:val="en-US"/>
        </w:rPr>
        <w:t xml:space="preserve"> </w:t>
      </w:r>
      <w:r w:rsidR="00564529" w:rsidRPr="00F26EF7">
        <w:rPr>
          <w:sz w:val="24"/>
          <w:szCs w:val="24"/>
          <w:lang w:val="en-US"/>
        </w:rPr>
        <w:t xml:space="preserve"> </w:t>
      </w:r>
    </w:p>
    <w:p w14:paraId="259F0B69" w14:textId="1856A0C1" w:rsidR="004E70AF" w:rsidRPr="00F26EF7" w:rsidRDefault="007B0755" w:rsidP="005B3B17">
      <w:pPr>
        <w:ind w:firstLine="708"/>
        <w:rPr>
          <w:sz w:val="24"/>
          <w:szCs w:val="24"/>
          <w:lang w:val="en-US"/>
        </w:rPr>
      </w:pPr>
      <w:r w:rsidRPr="00F26EF7">
        <w:rPr>
          <w:sz w:val="24"/>
          <w:szCs w:val="24"/>
          <w:lang w:val="en-US"/>
        </w:rPr>
        <w:t xml:space="preserve">The Great Recession posed even a greater challenge than the Latin American crises of the early 2000s. </w:t>
      </w:r>
      <w:r w:rsidR="004E70AF" w:rsidRPr="00F26EF7">
        <w:rPr>
          <w:sz w:val="24"/>
          <w:szCs w:val="24"/>
          <w:lang w:val="en-US"/>
        </w:rPr>
        <w:t>The Eurozone crisis necessitated several intervention</w:t>
      </w:r>
      <w:r w:rsidR="007B57FA">
        <w:rPr>
          <w:sz w:val="24"/>
          <w:szCs w:val="24"/>
          <w:lang w:val="en-US"/>
        </w:rPr>
        <w:t>s</w:t>
      </w:r>
      <w:r w:rsidR="004E70AF" w:rsidRPr="00F26EF7">
        <w:rPr>
          <w:sz w:val="24"/>
          <w:szCs w:val="24"/>
          <w:lang w:val="en-US"/>
        </w:rPr>
        <w:t xml:space="preserve"> by the European authorities and the Fund. </w:t>
      </w:r>
      <w:r w:rsidR="00B51524" w:rsidRPr="00F26EF7">
        <w:rPr>
          <w:sz w:val="24"/>
          <w:szCs w:val="24"/>
          <w:lang w:val="en-US"/>
        </w:rPr>
        <w:t xml:space="preserve">A former executive director of the organization believed three years after the collapse of the Lehman Brother that the crisis management was </w:t>
      </w:r>
      <w:r w:rsidR="00047301" w:rsidRPr="00F26EF7">
        <w:rPr>
          <w:sz w:val="24"/>
          <w:szCs w:val="24"/>
          <w:lang w:val="en-US"/>
        </w:rPr>
        <w:t>quite</w:t>
      </w:r>
      <w:r w:rsidR="00B51524" w:rsidRPr="00F26EF7">
        <w:rPr>
          <w:sz w:val="24"/>
          <w:szCs w:val="24"/>
          <w:lang w:val="en-US"/>
        </w:rPr>
        <w:t xml:space="preserve"> positive: “A complete catastrophe was only averted by the resolute action of central banks, treasuries, and the IMF” (de Beaufort Wijnholds 2011: 190). Yet, the crisis continued, and </w:t>
      </w:r>
      <w:r w:rsidR="00B51524" w:rsidRPr="00F26EF7">
        <w:rPr>
          <w:i/>
          <w:sz w:val="24"/>
          <w:szCs w:val="24"/>
          <w:lang w:val="en-US"/>
        </w:rPr>
        <w:t>The Economist</w:t>
      </w:r>
      <w:r w:rsidR="00B51524" w:rsidRPr="00F26EF7">
        <w:rPr>
          <w:sz w:val="24"/>
          <w:szCs w:val="24"/>
          <w:lang w:val="en-US"/>
        </w:rPr>
        <w:t xml:space="preserve"> (2013) forecasted for Greece, together with other instable countries such as Egypt or Venezuela, a “very high risk” </w:t>
      </w:r>
      <w:r w:rsidR="007B57FA">
        <w:rPr>
          <w:sz w:val="24"/>
          <w:szCs w:val="24"/>
          <w:lang w:val="en-US"/>
        </w:rPr>
        <w:t xml:space="preserve">of </w:t>
      </w:r>
      <w:r w:rsidR="00047301" w:rsidRPr="00F26EF7">
        <w:rPr>
          <w:sz w:val="24"/>
          <w:szCs w:val="24"/>
          <w:lang w:val="en-US"/>
        </w:rPr>
        <w:t xml:space="preserve">massive </w:t>
      </w:r>
      <w:r w:rsidR="00B51524" w:rsidRPr="00F26EF7">
        <w:rPr>
          <w:sz w:val="24"/>
          <w:szCs w:val="24"/>
          <w:lang w:val="en-US"/>
        </w:rPr>
        <w:t xml:space="preserve">social unrest in 2014. </w:t>
      </w:r>
      <w:r w:rsidR="00ED0B53">
        <w:rPr>
          <w:sz w:val="24"/>
          <w:szCs w:val="24"/>
          <w:lang w:val="en-US"/>
        </w:rPr>
        <w:t>I</w:t>
      </w:r>
      <w:r w:rsidR="004E70AF" w:rsidRPr="00F26EF7">
        <w:rPr>
          <w:sz w:val="24"/>
          <w:szCs w:val="24"/>
          <w:lang w:val="en-US"/>
        </w:rPr>
        <w:t xml:space="preserve">n </w:t>
      </w:r>
      <w:r w:rsidR="00ED0B53">
        <w:rPr>
          <w:sz w:val="24"/>
          <w:szCs w:val="24"/>
          <w:lang w:val="en-US"/>
        </w:rPr>
        <w:t xml:space="preserve">the wake of the Great Recession, the </w:t>
      </w:r>
      <w:r w:rsidR="00D46309">
        <w:rPr>
          <w:sz w:val="24"/>
          <w:szCs w:val="24"/>
          <w:lang w:val="en-US"/>
        </w:rPr>
        <w:t xml:space="preserve">Greek </w:t>
      </w:r>
      <w:r w:rsidR="00D03997">
        <w:rPr>
          <w:sz w:val="24"/>
          <w:szCs w:val="24"/>
          <w:lang w:val="en-US"/>
        </w:rPr>
        <w:t xml:space="preserve">economy </w:t>
      </w:r>
      <w:r w:rsidR="00ED0B53" w:rsidRPr="00F26EF7">
        <w:rPr>
          <w:sz w:val="24"/>
          <w:szCs w:val="24"/>
          <w:lang w:val="en-US"/>
        </w:rPr>
        <w:t xml:space="preserve">experienced </w:t>
      </w:r>
      <w:r w:rsidR="004E70AF" w:rsidRPr="00F26EF7">
        <w:rPr>
          <w:sz w:val="24"/>
          <w:szCs w:val="24"/>
          <w:lang w:val="en-US"/>
        </w:rPr>
        <w:t xml:space="preserve">a similar crisis like the United States during the Great </w:t>
      </w:r>
      <w:r w:rsidR="00B51524" w:rsidRPr="00F26EF7">
        <w:rPr>
          <w:sz w:val="24"/>
          <w:szCs w:val="24"/>
          <w:lang w:val="en-US"/>
        </w:rPr>
        <w:t>Depression</w:t>
      </w:r>
      <w:r w:rsidR="00ED0B53">
        <w:rPr>
          <w:sz w:val="24"/>
          <w:szCs w:val="24"/>
          <w:lang w:val="en-US"/>
        </w:rPr>
        <w:t xml:space="preserve">, </w:t>
      </w:r>
      <w:r w:rsidR="004E70AF" w:rsidRPr="00F26EF7">
        <w:rPr>
          <w:sz w:val="24"/>
          <w:szCs w:val="24"/>
          <w:lang w:val="en-US"/>
        </w:rPr>
        <w:t xml:space="preserve">with a contraction of 25% of </w:t>
      </w:r>
      <w:r w:rsidR="00ED0B53">
        <w:rPr>
          <w:sz w:val="24"/>
          <w:szCs w:val="24"/>
          <w:lang w:val="en-US"/>
        </w:rPr>
        <w:t xml:space="preserve">its </w:t>
      </w:r>
      <w:r w:rsidR="004E70AF" w:rsidRPr="00F26EF7">
        <w:rPr>
          <w:sz w:val="24"/>
          <w:szCs w:val="24"/>
          <w:lang w:val="en-US"/>
        </w:rPr>
        <w:t xml:space="preserve">GDP (IMF 2017: 10). However, the Greek troubles have lasted longer than the slump the U.S. economy endured in the early 1930s. </w:t>
      </w:r>
    </w:p>
    <w:p w14:paraId="3CC579F8" w14:textId="1A3E9028" w:rsidR="00832D3F" w:rsidRPr="00F26EF7" w:rsidRDefault="006920AB" w:rsidP="005B3B17">
      <w:pPr>
        <w:ind w:firstLine="708"/>
        <w:rPr>
          <w:sz w:val="24"/>
          <w:szCs w:val="24"/>
          <w:lang w:val="en-US"/>
        </w:rPr>
      </w:pPr>
      <w:r w:rsidRPr="00F26EF7">
        <w:rPr>
          <w:sz w:val="24"/>
          <w:szCs w:val="24"/>
          <w:lang w:val="en-US"/>
        </w:rPr>
        <w:t>Most</w:t>
      </w:r>
      <w:r w:rsidR="00C62F3F" w:rsidRPr="00F26EF7">
        <w:rPr>
          <w:sz w:val="24"/>
          <w:szCs w:val="24"/>
          <w:lang w:val="en-US"/>
        </w:rPr>
        <w:t xml:space="preserve"> </w:t>
      </w:r>
      <w:r w:rsidR="00B51524" w:rsidRPr="00F26EF7">
        <w:rPr>
          <w:sz w:val="24"/>
          <w:szCs w:val="24"/>
          <w:lang w:val="en-US"/>
        </w:rPr>
        <w:t>observers believe that the crisis management by the Troika - the European Commission (EC), the European Central Bank (ECB) and the IMF</w:t>
      </w:r>
      <w:r w:rsidR="00D03997">
        <w:rPr>
          <w:sz w:val="24"/>
          <w:szCs w:val="24"/>
          <w:lang w:val="en-US"/>
        </w:rPr>
        <w:t xml:space="preserve"> -</w:t>
      </w:r>
      <w:r w:rsidR="00B51524" w:rsidRPr="00F26EF7">
        <w:rPr>
          <w:sz w:val="24"/>
          <w:szCs w:val="24"/>
          <w:lang w:val="en-US"/>
        </w:rPr>
        <w:t xml:space="preserve"> deepened the depression further. </w:t>
      </w:r>
      <w:r w:rsidR="004E70AF" w:rsidRPr="00F26EF7">
        <w:rPr>
          <w:sz w:val="24"/>
          <w:szCs w:val="24"/>
          <w:lang w:val="en-US"/>
        </w:rPr>
        <w:lastRenderedPageBreak/>
        <w:t>Wyplosz (2017</w:t>
      </w:r>
      <w:r w:rsidR="00B51524" w:rsidRPr="00F26EF7">
        <w:rPr>
          <w:sz w:val="24"/>
          <w:szCs w:val="24"/>
          <w:lang w:val="en-US"/>
        </w:rPr>
        <w:t>: 49-50</w:t>
      </w:r>
      <w:r w:rsidR="004E70AF" w:rsidRPr="00F26EF7">
        <w:rPr>
          <w:sz w:val="24"/>
          <w:szCs w:val="24"/>
          <w:lang w:val="en-US"/>
        </w:rPr>
        <w:t xml:space="preserve">) lists a couple of mistake European leaders have made, including assigning the role of the </w:t>
      </w:r>
      <w:r w:rsidR="00B51524" w:rsidRPr="00F26EF7">
        <w:rPr>
          <w:sz w:val="24"/>
          <w:szCs w:val="24"/>
          <w:lang w:val="en-US"/>
        </w:rPr>
        <w:t>“</w:t>
      </w:r>
      <w:r w:rsidR="004E70AF" w:rsidRPr="00F26EF7">
        <w:rPr>
          <w:sz w:val="24"/>
          <w:szCs w:val="24"/>
          <w:lang w:val="en-US"/>
        </w:rPr>
        <w:t>bad cop</w:t>
      </w:r>
      <w:r w:rsidR="00B51524" w:rsidRPr="00F26EF7">
        <w:rPr>
          <w:sz w:val="24"/>
          <w:szCs w:val="24"/>
          <w:lang w:val="en-US"/>
        </w:rPr>
        <w:t>”</w:t>
      </w:r>
      <w:r w:rsidR="004E70AF" w:rsidRPr="00F26EF7">
        <w:rPr>
          <w:sz w:val="24"/>
          <w:szCs w:val="24"/>
          <w:lang w:val="en-US"/>
        </w:rPr>
        <w:t xml:space="preserve"> to the European Commission instead of the IMF</w:t>
      </w:r>
      <w:r w:rsidR="00B51524" w:rsidRPr="00F26EF7">
        <w:rPr>
          <w:sz w:val="24"/>
          <w:szCs w:val="24"/>
          <w:lang w:val="en-US"/>
        </w:rPr>
        <w:t>: “…this led to disagreements with the IMF, which even let it be known that it found the program too harsh, but it also left a legacy of resentment</w:t>
      </w:r>
      <w:r w:rsidR="00C846E9" w:rsidRPr="00F26EF7">
        <w:rPr>
          <w:sz w:val="24"/>
          <w:szCs w:val="24"/>
          <w:lang w:val="en-US"/>
        </w:rPr>
        <w:t xml:space="preserve"> </w:t>
      </w:r>
      <w:r w:rsidR="00B51524" w:rsidRPr="00F26EF7">
        <w:rPr>
          <w:sz w:val="24"/>
          <w:szCs w:val="24"/>
          <w:lang w:val="en-US"/>
        </w:rPr>
        <w:t>that will not disappear</w:t>
      </w:r>
      <w:r w:rsidR="004E70AF" w:rsidRPr="00F26EF7">
        <w:rPr>
          <w:sz w:val="24"/>
          <w:szCs w:val="24"/>
          <w:lang w:val="en-US"/>
        </w:rPr>
        <w:t>.</w:t>
      </w:r>
      <w:r w:rsidR="00C846E9" w:rsidRPr="00F26EF7">
        <w:rPr>
          <w:sz w:val="24"/>
          <w:szCs w:val="24"/>
          <w:lang w:val="en-US"/>
        </w:rPr>
        <w:t>”</w:t>
      </w:r>
      <w:r w:rsidR="004E70AF" w:rsidRPr="00F26EF7">
        <w:rPr>
          <w:sz w:val="24"/>
          <w:szCs w:val="24"/>
          <w:lang w:val="en-US"/>
        </w:rPr>
        <w:t xml:space="preserve"> </w:t>
      </w:r>
      <w:r w:rsidR="00C30D88" w:rsidRPr="00F26EF7">
        <w:rPr>
          <w:sz w:val="24"/>
          <w:szCs w:val="24"/>
          <w:lang w:val="en-US"/>
        </w:rPr>
        <w:t xml:space="preserve"> It was the interventions by the third member of the Troika, the </w:t>
      </w:r>
      <w:r w:rsidR="00D03997" w:rsidRPr="00F26EF7">
        <w:rPr>
          <w:sz w:val="24"/>
          <w:szCs w:val="24"/>
          <w:lang w:val="en-US"/>
        </w:rPr>
        <w:t>EC</w:t>
      </w:r>
      <w:r w:rsidR="00D03997">
        <w:rPr>
          <w:sz w:val="24"/>
          <w:szCs w:val="24"/>
          <w:lang w:val="en-US"/>
        </w:rPr>
        <w:t>B</w:t>
      </w:r>
      <w:r w:rsidR="00C30D88" w:rsidRPr="00F26EF7">
        <w:rPr>
          <w:sz w:val="24"/>
          <w:szCs w:val="24"/>
          <w:lang w:val="en-US"/>
        </w:rPr>
        <w:t>, that</w:t>
      </w:r>
      <w:r w:rsidR="007B0755" w:rsidRPr="00F26EF7">
        <w:rPr>
          <w:sz w:val="24"/>
          <w:szCs w:val="24"/>
          <w:lang w:val="en-US"/>
        </w:rPr>
        <w:t>, according to Genovese et al. (2016), ease</w:t>
      </w:r>
      <w:r w:rsidR="00C30D88" w:rsidRPr="00F26EF7">
        <w:rPr>
          <w:sz w:val="24"/>
          <w:szCs w:val="24"/>
          <w:lang w:val="en-US"/>
        </w:rPr>
        <w:t>d</w:t>
      </w:r>
      <w:r w:rsidR="00832D3F" w:rsidRPr="00F26EF7">
        <w:rPr>
          <w:sz w:val="24"/>
          <w:szCs w:val="24"/>
          <w:lang w:val="en-US"/>
        </w:rPr>
        <w:t xml:space="preserve"> the social tensions a bit, </w:t>
      </w:r>
      <w:r w:rsidR="00290F31" w:rsidRPr="00F26EF7">
        <w:rPr>
          <w:sz w:val="24"/>
          <w:szCs w:val="24"/>
          <w:lang w:val="en-US"/>
        </w:rPr>
        <w:t xml:space="preserve">which manifested itself in a </w:t>
      </w:r>
      <w:r w:rsidR="00832D3F" w:rsidRPr="00F26EF7">
        <w:rPr>
          <w:sz w:val="24"/>
          <w:szCs w:val="24"/>
          <w:lang w:val="en-US"/>
        </w:rPr>
        <w:t>reduc</w:t>
      </w:r>
      <w:r w:rsidR="00290F31" w:rsidRPr="00F26EF7">
        <w:rPr>
          <w:sz w:val="24"/>
          <w:szCs w:val="24"/>
          <w:lang w:val="en-US"/>
        </w:rPr>
        <w:t xml:space="preserve">tion of </w:t>
      </w:r>
      <w:r w:rsidR="00832D3F" w:rsidRPr="00F26EF7">
        <w:rPr>
          <w:sz w:val="24"/>
          <w:szCs w:val="24"/>
          <w:lang w:val="en-US"/>
        </w:rPr>
        <w:t>the number of general strikes.</w:t>
      </w:r>
      <w:r w:rsidR="007B0755" w:rsidRPr="00F26EF7">
        <w:rPr>
          <w:sz w:val="24"/>
          <w:szCs w:val="24"/>
          <w:lang w:val="en-US"/>
        </w:rPr>
        <w:t xml:space="preserve"> </w:t>
      </w:r>
      <w:r w:rsidR="00C846E9" w:rsidRPr="00F26EF7">
        <w:rPr>
          <w:sz w:val="24"/>
          <w:szCs w:val="24"/>
          <w:lang w:val="en-US"/>
        </w:rPr>
        <w:t>Wyplosz (2017: 57) similarly concludes “</w:t>
      </w:r>
      <w:r w:rsidR="00D06A94" w:rsidRPr="00F26EF7">
        <w:rPr>
          <w:sz w:val="24"/>
          <w:szCs w:val="24"/>
          <w:lang w:val="en-US"/>
        </w:rPr>
        <w:t>…</w:t>
      </w:r>
      <w:r w:rsidR="00C846E9" w:rsidRPr="00F26EF7">
        <w:rPr>
          <w:sz w:val="24"/>
          <w:szCs w:val="24"/>
          <w:lang w:val="en-US"/>
        </w:rPr>
        <w:t xml:space="preserve">that </w:t>
      </w:r>
      <w:r w:rsidR="00D06A94" w:rsidRPr="00F26EF7">
        <w:rPr>
          <w:sz w:val="24"/>
          <w:szCs w:val="24"/>
          <w:lang w:val="en-US"/>
        </w:rPr>
        <w:t>i</w:t>
      </w:r>
      <w:r w:rsidR="00C846E9" w:rsidRPr="00F26EF7">
        <w:rPr>
          <w:sz w:val="24"/>
          <w:szCs w:val="24"/>
          <w:lang w:val="en-US"/>
        </w:rPr>
        <w:t xml:space="preserve">t was only when the ECB became active in 2012 that the crisis came under control.” </w:t>
      </w:r>
      <w:r w:rsidR="00832D3F" w:rsidRPr="00F26EF7">
        <w:rPr>
          <w:sz w:val="24"/>
          <w:szCs w:val="24"/>
          <w:lang w:val="en-US"/>
        </w:rPr>
        <w:t xml:space="preserve">Although the </w:t>
      </w:r>
      <w:r w:rsidR="00D06A94" w:rsidRPr="00F26EF7">
        <w:rPr>
          <w:sz w:val="24"/>
          <w:szCs w:val="24"/>
          <w:lang w:val="en-US"/>
        </w:rPr>
        <w:t xml:space="preserve">Eurozone member states and the IMF </w:t>
      </w:r>
      <w:r w:rsidR="00832D3F" w:rsidRPr="00F26EF7">
        <w:rPr>
          <w:sz w:val="24"/>
          <w:szCs w:val="24"/>
          <w:lang w:val="en-US"/>
        </w:rPr>
        <w:t xml:space="preserve">contributed the largest </w:t>
      </w:r>
      <w:r w:rsidR="00D06A94" w:rsidRPr="00F26EF7">
        <w:rPr>
          <w:sz w:val="24"/>
          <w:szCs w:val="24"/>
          <w:lang w:val="en-US"/>
        </w:rPr>
        <w:t>bailout package in history</w:t>
      </w:r>
      <w:r w:rsidR="00832D3F" w:rsidRPr="00F26EF7">
        <w:rPr>
          <w:sz w:val="24"/>
          <w:szCs w:val="24"/>
          <w:lang w:val="en-US"/>
        </w:rPr>
        <w:t xml:space="preserve">, it only slowed down the massive downturn of the Greek economy. </w:t>
      </w:r>
      <w:r w:rsidR="0090625B" w:rsidRPr="00F26EF7">
        <w:rPr>
          <w:sz w:val="24"/>
          <w:szCs w:val="24"/>
          <w:lang w:val="en-US"/>
        </w:rPr>
        <w:t>The “structural adjustment” that came along with the financial assistance, deepened the crisis at least in the beginning. According to a macroeconomic simulation, the “inevitable” fiscal consolidations accounted for 50% of the output drop that the Eurozone member endured</w:t>
      </w:r>
      <w:r w:rsidR="007071CF" w:rsidRPr="00F26EF7">
        <w:rPr>
          <w:sz w:val="24"/>
          <w:szCs w:val="24"/>
          <w:lang w:val="en-US"/>
        </w:rPr>
        <w:t xml:space="preserve"> </w:t>
      </w:r>
      <w:r w:rsidR="0090625B" w:rsidRPr="00F26EF7">
        <w:rPr>
          <w:sz w:val="24"/>
          <w:szCs w:val="24"/>
          <w:lang w:val="en-US"/>
        </w:rPr>
        <w:t xml:space="preserve">(Gourinchas et al. 2016: 4), while </w:t>
      </w:r>
      <w:r w:rsidR="00835054" w:rsidRPr="00F26EF7">
        <w:rPr>
          <w:sz w:val="24"/>
          <w:szCs w:val="24"/>
          <w:lang w:val="en-US"/>
        </w:rPr>
        <w:t xml:space="preserve">the stalling reform efforts in the mid-2010s hindered the Greek economy to recover </w:t>
      </w:r>
      <w:r w:rsidR="00290F31" w:rsidRPr="00F26EF7">
        <w:rPr>
          <w:sz w:val="24"/>
          <w:szCs w:val="24"/>
          <w:lang w:val="en-US"/>
        </w:rPr>
        <w:t xml:space="preserve">more </w:t>
      </w:r>
      <w:r w:rsidR="00835054" w:rsidRPr="00F26EF7">
        <w:rPr>
          <w:sz w:val="24"/>
          <w:szCs w:val="24"/>
          <w:lang w:val="en-US"/>
        </w:rPr>
        <w:t>quickly.</w:t>
      </w:r>
      <w:r w:rsidR="0090625B" w:rsidRPr="00F26EF7">
        <w:rPr>
          <w:sz w:val="24"/>
          <w:szCs w:val="24"/>
          <w:lang w:val="en-US"/>
        </w:rPr>
        <w:t xml:space="preserve">  </w:t>
      </w:r>
    </w:p>
    <w:p w14:paraId="3CFFF692" w14:textId="6D2CFFD5" w:rsidR="00CF1E76" w:rsidRPr="00F26EF7" w:rsidRDefault="007B2ABF" w:rsidP="00C268A6">
      <w:pPr>
        <w:rPr>
          <w:sz w:val="24"/>
          <w:szCs w:val="24"/>
          <w:lang w:val="en-US"/>
        </w:rPr>
      </w:pPr>
      <w:r w:rsidRPr="00F26EF7">
        <w:rPr>
          <w:sz w:val="24"/>
          <w:szCs w:val="24"/>
          <w:lang w:val="en-US"/>
        </w:rPr>
        <w:t>O</w:t>
      </w:r>
      <w:r w:rsidR="00832D3F" w:rsidRPr="00F26EF7">
        <w:rPr>
          <w:sz w:val="24"/>
          <w:szCs w:val="24"/>
          <w:lang w:val="en-US"/>
        </w:rPr>
        <w:t>ther crisis-ridden member states of the European Political and Monetary Union</w:t>
      </w:r>
      <w:r w:rsidRPr="00F26EF7">
        <w:rPr>
          <w:sz w:val="24"/>
          <w:szCs w:val="24"/>
          <w:lang w:val="en-US"/>
        </w:rPr>
        <w:t xml:space="preserve"> </w:t>
      </w:r>
      <w:r w:rsidR="00290F31" w:rsidRPr="00F26EF7">
        <w:rPr>
          <w:sz w:val="24"/>
          <w:szCs w:val="24"/>
          <w:lang w:val="en-US"/>
        </w:rPr>
        <w:t xml:space="preserve">such as Ireland or Portugal </w:t>
      </w:r>
      <w:r w:rsidRPr="00F26EF7">
        <w:rPr>
          <w:sz w:val="24"/>
          <w:szCs w:val="24"/>
          <w:lang w:val="en-US"/>
        </w:rPr>
        <w:t>recovered more quickly and implemented more of the required structural reforms than Greece.</w:t>
      </w:r>
      <w:r w:rsidRPr="00F26EF7">
        <w:rPr>
          <w:lang w:val="en-US"/>
        </w:rPr>
        <w:t xml:space="preserve"> </w:t>
      </w:r>
      <w:r w:rsidRPr="00F26EF7">
        <w:rPr>
          <w:sz w:val="24"/>
          <w:szCs w:val="24"/>
          <w:lang w:val="en-US"/>
        </w:rPr>
        <w:t xml:space="preserve">Gupta et al. (2018) show that newly elected, efficient governments with large majorities are </w:t>
      </w:r>
      <w:r w:rsidR="00290F31" w:rsidRPr="00F26EF7">
        <w:rPr>
          <w:sz w:val="24"/>
          <w:szCs w:val="24"/>
          <w:lang w:val="en-US"/>
        </w:rPr>
        <w:t>more</w:t>
      </w:r>
      <w:r w:rsidRPr="00F26EF7">
        <w:rPr>
          <w:sz w:val="24"/>
          <w:szCs w:val="24"/>
          <w:lang w:val="en-US"/>
        </w:rPr>
        <w:t xml:space="preserve"> likely to live up to their promise to consolidate the finances of their state. According to the IMF, </w:t>
      </w:r>
      <w:r w:rsidR="00931B41" w:rsidRPr="00F26EF7">
        <w:rPr>
          <w:sz w:val="24"/>
          <w:szCs w:val="24"/>
          <w:lang w:val="en-US"/>
        </w:rPr>
        <w:t xml:space="preserve">member states in which “country authorities, public opinion and the broader political establishment agree on what reforms are necessary and welcome them” have a much better track record (Thomsen 2017). This underlines that at least some of the social unrest that comes in the wake of financial crises has reached the goal of forestalling or at least slowing down some of the reforms that international lenders </w:t>
      </w:r>
      <w:r w:rsidR="00290F31" w:rsidRPr="00F26EF7">
        <w:rPr>
          <w:sz w:val="24"/>
          <w:szCs w:val="24"/>
          <w:lang w:val="en-US"/>
        </w:rPr>
        <w:t xml:space="preserve">such as the IMF </w:t>
      </w:r>
      <w:r w:rsidR="00931B41" w:rsidRPr="00F26EF7">
        <w:rPr>
          <w:sz w:val="24"/>
          <w:szCs w:val="24"/>
          <w:lang w:val="en-US"/>
        </w:rPr>
        <w:t xml:space="preserve">attach to the their fiscal assistance in times of crisis. </w:t>
      </w:r>
    </w:p>
    <w:p w14:paraId="1C58799C" w14:textId="77777777" w:rsidR="007A5F31" w:rsidRPr="00F26EF7" w:rsidRDefault="007A5F31">
      <w:pPr>
        <w:rPr>
          <w:sz w:val="24"/>
          <w:szCs w:val="24"/>
          <w:lang w:val="en-US"/>
        </w:rPr>
      </w:pPr>
    </w:p>
    <w:p w14:paraId="3D8C6532" w14:textId="77777777" w:rsidR="00F405BC" w:rsidRPr="00F26EF7" w:rsidRDefault="00D4646A" w:rsidP="00856037">
      <w:pPr>
        <w:outlineLvl w:val="0"/>
        <w:rPr>
          <w:b/>
          <w:sz w:val="24"/>
          <w:szCs w:val="24"/>
          <w:lang w:val="en-US"/>
        </w:rPr>
      </w:pPr>
      <w:r w:rsidRPr="00F26EF7">
        <w:rPr>
          <w:b/>
          <w:sz w:val="24"/>
          <w:szCs w:val="24"/>
          <w:lang w:val="en-US"/>
        </w:rPr>
        <w:t>Conclusion</w:t>
      </w:r>
    </w:p>
    <w:p w14:paraId="4E12F30C" w14:textId="3178B9FA" w:rsidR="00F405BC" w:rsidRPr="00F26EF7" w:rsidRDefault="00C93AE9">
      <w:pPr>
        <w:rPr>
          <w:sz w:val="24"/>
          <w:szCs w:val="24"/>
          <w:lang w:val="en-US"/>
        </w:rPr>
      </w:pPr>
      <w:r>
        <w:rPr>
          <w:sz w:val="24"/>
          <w:szCs w:val="24"/>
          <w:lang w:val="en-US"/>
        </w:rPr>
        <w:t xml:space="preserve">In this </w:t>
      </w:r>
      <w:r w:rsidR="00BC0F6D" w:rsidRPr="00F26EF7">
        <w:rPr>
          <w:sz w:val="24"/>
          <w:szCs w:val="24"/>
          <w:lang w:val="en-US"/>
        </w:rPr>
        <w:t xml:space="preserve">article </w:t>
      </w:r>
      <w:r>
        <w:rPr>
          <w:sz w:val="24"/>
          <w:szCs w:val="24"/>
          <w:lang w:val="en-US"/>
        </w:rPr>
        <w:t>we have reexamined</w:t>
      </w:r>
      <w:r w:rsidR="00D4646A" w:rsidRPr="00F26EF7">
        <w:rPr>
          <w:sz w:val="24"/>
          <w:szCs w:val="24"/>
          <w:lang w:val="en-US"/>
        </w:rPr>
        <w:t xml:space="preserve"> the impact of economic shocks and IMF interventions on social mobilization, differentiating between violent and </w:t>
      </w:r>
      <w:r w:rsidR="005D3E4B" w:rsidRPr="00F26EF7">
        <w:rPr>
          <w:sz w:val="24"/>
          <w:szCs w:val="24"/>
          <w:lang w:val="en-US"/>
        </w:rPr>
        <w:t>nonviol</w:t>
      </w:r>
      <w:r w:rsidR="00D4646A" w:rsidRPr="00F26EF7">
        <w:rPr>
          <w:sz w:val="24"/>
          <w:szCs w:val="24"/>
          <w:lang w:val="en-US"/>
        </w:rPr>
        <w:t>ent social activism. We fin</w:t>
      </w:r>
      <w:r w:rsidR="00991718">
        <w:rPr>
          <w:sz w:val="24"/>
          <w:szCs w:val="24"/>
          <w:lang w:val="en-US"/>
        </w:rPr>
        <w:t>d that economic im</w:t>
      </w:r>
      <w:r w:rsidR="00D4646A" w:rsidRPr="00F26EF7">
        <w:rPr>
          <w:sz w:val="24"/>
          <w:szCs w:val="24"/>
          <w:lang w:val="en-US"/>
        </w:rPr>
        <w:t xml:space="preserve">miseration and crises </w:t>
      </w:r>
      <w:r w:rsidR="00991718">
        <w:rPr>
          <w:sz w:val="24"/>
          <w:szCs w:val="24"/>
          <w:lang w:val="en-US"/>
        </w:rPr>
        <w:t xml:space="preserve">can </w:t>
      </w:r>
      <w:r w:rsidR="00D4646A" w:rsidRPr="00F26EF7">
        <w:rPr>
          <w:sz w:val="24"/>
          <w:szCs w:val="24"/>
          <w:lang w:val="en-US"/>
        </w:rPr>
        <w:t xml:space="preserve">have a mobilizing effect, but </w:t>
      </w:r>
      <w:r w:rsidR="00C268A6">
        <w:rPr>
          <w:sz w:val="24"/>
          <w:szCs w:val="24"/>
          <w:lang w:val="en-US"/>
        </w:rPr>
        <w:t xml:space="preserve">this primarily pertains to </w:t>
      </w:r>
      <w:r w:rsidR="005D3E4B" w:rsidRPr="00F26EF7">
        <w:rPr>
          <w:sz w:val="24"/>
          <w:szCs w:val="24"/>
          <w:lang w:val="en-US"/>
        </w:rPr>
        <w:t>nonviol</w:t>
      </w:r>
      <w:r w:rsidR="00D4646A" w:rsidRPr="00F26EF7">
        <w:rPr>
          <w:sz w:val="24"/>
          <w:szCs w:val="24"/>
          <w:lang w:val="en-US"/>
        </w:rPr>
        <w:t xml:space="preserve">ent mobilization </w:t>
      </w:r>
      <w:r w:rsidR="00C268A6">
        <w:rPr>
          <w:sz w:val="24"/>
          <w:szCs w:val="24"/>
          <w:lang w:val="en-US"/>
        </w:rPr>
        <w:t xml:space="preserve">rather </w:t>
      </w:r>
      <w:r w:rsidR="00D4646A" w:rsidRPr="00F26EF7">
        <w:rPr>
          <w:sz w:val="24"/>
          <w:szCs w:val="24"/>
          <w:lang w:val="en-US"/>
        </w:rPr>
        <w:t xml:space="preserve">than political violence. Moreover, we </w:t>
      </w:r>
      <w:r w:rsidR="00D03997">
        <w:rPr>
          <w:sz w:val="24"/>
          <w:szCs w:val="24"/>
          <w:lang w:val="en-US"/>
        </w:rPr>
        <w:t>demonstrate</w:t>
      </w:r>
      <w:r w:rsidR="00D4646A" w:rsidRPr="00F26EF7">
        <w:rPr>
          <w:sz w:val="24"/>
          <w:szCs w:val="24"/>
          <w:lang w:val="en-US"/>
        </w:rPr>
        <w:t xml:space="preserve"> that once we take into account the impact on local economy and the endogenous nature of IMF </w:t>
      </w:r>
      <w:r w:rsidR="00D4646A" w:rsidRPr="00F26EF7">
        <w:rPr>
          <w:sz w:val="24"/>
          <w:szCs w:val="24"/>
          <w:lang w:val="en-US"/>
        </w:rPr>
        <w:lastRenderedPageBreak/>
        <w:t xml:space="preserve">involvement, IMF programs actually have a negative </w:t>
      </w:r>
      <w:r w:rsidR="00991718">
        <w:rPr>
          <w:sz w:val="24"/>
          <w:szCs w:val="24"/>
          <w:lang w:val="en-US"/>
        </w:rPr>
        <w:t xml:space="preserve">marginal </w:t>
      </w:r>
      <w:r w:rsidR="00D4646A" w:rsidRPr="00F26EF7">
        <w:rPr>
          <w:sz w:val="24"/>
          <w:szCs w:val="24"/>
          <w:lang w:val="en-US"/>
        </w:rPr>
        <w:t xml:space="preserve">impact on protest and no consistent effect on political violence. </w:t>
      </w:r>
      <w:r w:rsidR="001478B0" w:rsidRPr="00F26EF7">
        <w:rPr>
          <w:sz w:val="24"/>
          <w:szCs w:val="24"/>
          <w:lang w:val="en-US"/>
        </w:rPr>
        <w:t xml:space="preserve">This contradicts </w:t>
      </w:r>
      <w:r w:rsidR="00D4646A" w:rsidRPr="00F26EF7">
        <w:rPr>
          <w:sz w:val="24"/>
          <w:szCs w:val="24"/>
          <w:lang w:val="en-US"/>
        </w:rPr>
        <w:t xml:space="preserve">the claims of Hartzel, Hoddie and Bauer (2010) that IMF-induced austerity fosters </w:t>
      </w:r>
      <w:r w:rsidR="00523241">
        <w:rPr>
          <w:sz w:val="24"/>
          <w:szCs w:val="24"/>
          <w:lang w:val="en-US"/>
        </w:rPr>
        <w:t>v</w:t>
      </w:r>
      <w:r w:rsidR="00D1750E">
        <w:rPr>
          <w:sz w:val="24"/>
          <w:szCs w:val="24"/>
          <w:lang w:val="en-US"/>
        </w:rPr>
        <w:t>i</w:t>
      </w:r>
      <w:r w:rsidR="00523241">
        <w:rPr>
          <w:sz w:val="24"/>
          <w:szCs w:val="24"/>
          <w:lang w:val="en-US"/>
        </w:rPr>
        <w:t>o</w:t>
      </w:r>
      <w:r w:rsidR="00D1750E">
        <w:rPr>
          <w:sz w:val="24"/>
          <w:szCs w:val="24"/>
          <w:lang w:val="en-US"/>
        </w:rPr>
        <w:t>l</w:t>
      </w:r>
      <w:r w:rsidR="00523241">
        <w:rPr>
          <w:sz w:val="24"/>
          <w:szCs w:val="24"/>
          <w:lang w:val="en-US"/>
        </w:rPr>
        <w:t xml:space="preserve">ent </w:t>
      </w:r>
      <w:r w:rsidR="00D4646A" w:rsidRPr="00F26EF7">
        <w:rPr>
          <w:sz w:val="24"/>
          <w:szCs w:val="24"/>
          <w:lang w:val="en-US"/>
        </w:rPr>
        <w:t xml:space="preserve">conflict, </w:t>
      </w:r>
      <w:r w:rsidR="001478B0" w:rsidRPr="00F26EF7">
        <w:rPr>
          <w:sz w:val="24"/>
          <w:szCs w:val="24"/>
          <w:lang w:val="en-US"/>
        </w:rPr>
        <w:t xml:space="preserve">and </w:t>
      </w:r>
      <w:r w:rsidR="00D4646A" w:rsidRPr="00F26EF7">
        <w:rPr>
          <w:sz w:val="24"/>
          <w:szCs w:val="24"/>
          <w:lang w:val="en-US"/>
        </w:rPr>
        <w:t>rather suggest</w:t>
      </w:r>
      <w:r w:rsidR="0053129A" w:rsidRPr="00F26EF7">
        <w:rPr>
          <w:sz w:val="24"/>
          <w:szCs w:val="24"/>
          <w:lang w:val="en-US"/>
        </w:rPr>
        <w:t>s</w:t>
      </w:r>
      <w:r w:rsidR="00D4646A" w:rsidRPr="00F26EF7">
        <w:rPr>
          <w:sz w:val="24"/>
          <w:szCs w:val="24"/>
          <w:lang w:val="en-US"/>
        </w:rPr>
        <w:t xml:space="preserve"> an accommodation effect</w:t>
      </w:r>
      <w:r w:rsidR="008C20FE" w:rsidRPr="00F26EF7">
        <w:rPr>
          <w:sz w:val="24"/>
          <w:szCs w:val="24"/>
          <w:lang w:val="en-US"/>
        </w:rPr>
        <w:t xml:space="preserve"> </w:t>
      </w:r>
      <w:r w:rsidR="00D1750E">
        <w:rPr>
          <w:sz w:val="24"/>
          <w:szCs w:val="24"/>
          <w:lang w:val="en-US"/>
        </w:rPr>
        <w:t xml:space="preserve">that can mitigate </w:t>
      </w:r>
      <w:r w:rsidR="001478B0" w:rsidRPr="00F26EF7">
        <w:rPr>
          <w:sz w:val="24"/>
          <w:szCs w:val="24"/>
          <w:lang w:val="en-US"/>
        </w:rPr>
        <w:t>conflict</w:t>
      </w:r>
      <w:r w:rsidR="008C20FE" w:rsidRPr="00F26EF7">
        <w:rPr>
          <w:sz w:val="24"/>
          <w:szCs w:val="24"/>
          <w:lang w:val="en-US"/>
        </w:rPr>
        <w:t xml:space="preserve">, especially </w:t>
      </w:r>
      <w:r w:rsidR="005D3E4B" w:rsidRPr="00F26EF7">
        <w:rPr>
          <w:sz w:val="24"/>
          <w:szCs w:val="24"/>
          <w:lang w:val="en-US"/>
        </w:rPr>
        <w:t>nonviol</w:t>
      </w:r>
      <w:r w:rsidR="008C20FE" w:rsidRPr="00F26EF7">
        <w:rPr>
          <w:sz w:val="24"/>
          <w:szCs w:val="24"/>
          <w:lang w:val="en-US"/>
        </w:rPr>
        <w:t>ent protest</w:t>
      </w:r>
      <w:r w:rsidR="00D4646A" w:rsidRPr="00F26EF7">
        <w:rPr>
          <w:sz w:val="24"/>
          <w:szCs w:val="24"/>
          <w:lang w:val="en-US"/>
        </w:rPr>
        <w:t xml:space="preserve">. </w:t>
      </w:r>
    </w:p>
    <w:p w14:paraId="1CAC5FB0" w14:textId="1E3CFEE4" w:rsidR="00657E6F" w:rsidRPr="00F26EF7" w:rsidRDefault="00657E6F">
      <w:pPr>
        <w:rPr>
          <w:lang w:val="en-US"/>
        </w:rPr>
      </w:pPr>
      <w:r w:rsidRPr="00F26EF7">
        <w:rPr>
          <w:sz w:val="24"/>
          <w:szCs w:val="24"/>
          <w:lang w:val="en-US"/>
        </w:rPr>
        <w:t xml:space="preserve">Our analysis does not differentiate between IMF programs </w:t>
      </w:r>
      <w:r w:rsidR="00991718">
        <w:rPr>
          <w:sz w:val="24"/>
          <w:szCs w:val="24"/>
          <w:lang w:val="en-US"/>
        </w:rPr>
        <w:t xml:space="preserve">of varying severity, nor </w:t>
      </w:r>
      <w:r w:rsidRPr="00F26EF7">
        <w:rPr>
          <w:sz w:val="24"/>
          <w:szCs w:val="24"/>
          <w:lang w:val="en-US"/>
        </w:rPr>
        <w:t xml:space="preserve">does </w:t>
      </w:r>
      <w:r w:rsidR="007943AB">
        <w:rPr>
          <w:sz w:val="24"/>
          <w:szCs w:val="24"/>
          <w:lang w:val="en-US"/>
        </w:rPr>
        <w:t>it</w:t>
      </w:r>
      <w:r w:rsidRPr="00F26EF7">
        <w:rPr>
          <w:sz w:val="24"/>
          <w:szCs w:val="24"/>
          <w:lang w:val="en-US"/>
        </w:rPr>
        <w:t xml:space="preserve"> take into account </w:t>
      </w:r>
      <w:r w:rsidR="00991718">
        <w:rPr>
          <w:sz w:val="24"/>
          <w:szCs w:val="24"/>
          <w:lang w:val="en-US"/>
        </w:rPr>
        <w:t xml:space="preserve">in much detail </w:t>
      </w:r>
      <w:r w:rsidR="000D60D6" w:rsidRPr="00F26EF7">
        <w:rPr>
          <w:sz w:val="24"/>
          <w:szCs w:val="24"/>
          <w:lang w:val="en-US"/>
        </w:rPr>
        <w:t>how severe the repercussion of a financial crisis were. The results nevertheless caution against attempts to see the International Monetary Fund as a lackey of the financial industry that solely brings havoc to the developing world. While some austerity programs mandated by the IMF might have worsened the situation of the borrowing countries</w:t>
      </w:r>
      <w:r w:rsidR="000C279D" w:rsidRPr="00F26EF7">
        <w:rPr>
          <w:sz w:val="24"/>
          <w:szCs w:val="24"/>
          <w:lang w:val="en-US"/>
        </w:rPr>
        <w:t xml:space="preserve"> especially during the heydays of the “Washington Consensus”</w:t>
      </w:r>
      <w:r w:rsidR="000D60D6" w:rsidRPr="00F26EF7">
        <w:rPr>
          <w:sz w:val="24"/>
          <w:szCs w:val="24"/>
          <w:lang w:val="en-US"/>
        </w:rPr>
        <w:t xml:space="preserve">, </w:t>
      </w:r>
      <w:r w:rsidR="00E268CD" w:rsidRPr="00F26EF7">
        <w:rPr>
          <w:sz w:val="24"/>
          <w:szCs w:val="24"/>
          <w:lang w:val="en-US"/>
        </w:rPr>
        <w:t xml:space="preserve">the capital flowing to these states has eased the social tensions </w:t>
      </w:r>
      <w:r w:rsidR="000C279D" w:rsidRPr="00F26EF7">
        <w:rPr>
          <w:sz w:val="24"/>
          <w:szCs w:val="24"/>
          <w:lang w:val="en-US"/>
        </w:rPr>
        <w:t xml:space="preserve">at the average </w:t>
      </w:r>
      <w:r w:rsidR="00E268CD" w:rsidRPr="00F26EF7">
        <w:rPr>
          <w:sz w:val="24"/>
          <w:szCs w:val="24"/>
          <w:lang w:val="en-US"/>
        </w:rPr>
        <w:t xml:space="preserve">in the short run. This </w:t>
      </w:r>
      <w:r w:rsidR="00D1750E">
        <w:rPr>
          <w:sz w:val="24"/>
          <w:szCs w:val="24"/>
          <w:lang w:val="en-US"/>
        </w:rPr>
        <w:t xml:space="preserve">could </w:t>
      </w:r>
      <w:r w:rsidR="000C279D" w:rsidRPr="00F26EF7">
        <w:rPr>
          <w:sz w:val="24"/>
          <w:szCs w:val="24"/>
          <w:lang w:val="en-US"/>
        </w:rPr>
        <w:t xml:space="preserve">also mean that the </w:t>
      </w:r>
      <w:r w:rsidR="007943AB">
        <w:rPr>
          <w:sz w:val="24"/>
          <w:szCs w:val="24"/>
          <w:lang w:val="en-US"/>
        </w:rPr>
        <w:t xml:space="preserve">stimulating effect of IMF liquidity </w:t>
      </w:r>
      <w:r w:rsidR="000C279D" w:rsidRPr="00F26EF7">
        <w:rPr>
          <w:sz w:val="24"/>
          <w:szCs w:val="24"/>
          <w:lang w:val="en-US"/>
        </w:rPr>
        <w:t xml:space="preserve">has by and large overshadowed the potentially </w:t>
      </w:r>
      <w:r w:rsidR="00E268CD" w:rsidRPr="00F26EF7">
        <w:rPr>
          <w:sz w:val="24"/>
          <w:szCs w:val="24"/>
          <w:lang w:val="en-US"/>
        </w:rPr>
        <w:t xml:space="preserve">stifling </w:t>
      </w:r>
      <w:r w:rsidR="000C279D" w:rsidRPr="00F26EF7">
        <w:rPr>
          <w:sz w:val="24"/>
          <w:szCs w:val="24"/>
          <w:lang w:val="en-US"/>
        </w:rPr>
        <w:t>impact of the simultaneous austerity measures</w:t>
      </w:r>
      <w:r w:rsidR="00E268CD" w:rsidRPr="00F26EF7">
        <w:rPr>
          <w:sz w:val="24"/>
          <w:szCs w:val="24"/>
          <w:lang w:val="en-US"/>
        </w:rPr>
        <w:t xml:space="preserve">. This adds to the finding that monetary tools </w:t>
      </w:r>
      <w:r w:rsidR="000C279D" w:rsidRPr="00F26EF7">
        <w:rPr>
          <w:sz w:val="24"/>
          <w:szCs w:val="24"/>
          <w:lang w:val="en-US"/>
        </w:rPr>
        <w:t>propagated by the New Keynesian</w:t>
      </w:r>
      <w:r w:rsidR="00D1750E">
        <w:rPr>
          <w:sz w:val="24"/>
          <w:szCs w:val="24"/>
          <w:lang w:val="en-US"/>
        </w:rPr>
        <w:t>s</w:t>
      </w:r>
      <w:r w:rsidR="000C279D" w:rsidRPr="00F26EF7">
        <w:rPr>
          <w:sz w:val="24"/>
          <w:szCs w:val="24"/>
          <w:lang w:val="en-US"/>
        </w:rPr>
        <w:t xml:space="preserve"> </w:t>
      </w:r>
      <w:r w:rsidR="00E268CD" w:rsidRPr="00F26EF7">
        <w:rPr>
          <w:sz w:val="24"/>
          <w:szCs w:val="24"/>
          <w:lang w:val="en-US"/>
        </w:rPr>
        <w:t>can be used to reduce social unrest in advanced economies as well (Genovese, Schneider, and Wassmann 2016).</w:t>
      </w:r>
    </w:p>
    <w:p w14:paraId="480302ED" w14:textId="6703826D" w:rsidR="00F405BC" w:rsidRPr="00F26EF7" w:rsidRDefault="00F405BC">
      <w:pPr>
        <w:rPr>
          <w:sz w:val="24"/>
          <w:szCs w:val="24"/>
          <w:lang w:val="en-US"/>
        </w:rPr>
      </w:pPr>
    </w:p>
    <w:p w14:paraId="223B737F" w14:textId="44916FA3" w:rsidR="00F405BC" w:rsidRPr="00F26EF7" w:rsidRDefault="00F405BC">
      <w:pPr>
        <w:spacing w:line="276" w:lineRule="auto"/>
        <w:jc w:val="left"/>
        <w:rPr>
          <w:b/>
          <w:bCs/>
          <w:sz w:val="24"/>
          <w:szCs w:val="24"/>
          <w:lang w:val="en-US"/>
        </w:rPr>
      </w:pPr>
    </w:p>
    <w:p w14:paraId="0849659D" w14:textId="77777777" w:rsidR="002D5880" w:rsidRPr="00F26EF7" w:rsidRDefault="002D5880">
      <w:pPr>
        <w:spacing w:after="0" w:line="240" w:lineRule="auto"/>
        <w:jc w:val="left"/>
        <w:rPr>
          <w:b/>
          <w:bCs/>
          <w:sz w:val="24"/>
          <w:szCs w:val="24"/>
          <w:lang w:val="en-US"/>
        </w:rPr>
      </w:pPr>
      <w:r w:rsidRPr="00F26EF7">
        <w:rPr>
          <w:b/>
          <w:bCs/>
          <w:sz w:val="24"/>
          <w:szCs w:val="24"/>
          <w:lang w:val="en-US"/>
        </w:rPr>
        <w:br w:type="page"/>
      </w:r>
    </w:p>
    <w:p w14:paraId="5DCA8BD4" w14:textId="1A74A778" w:rsidR="00F405BC" w:rsidRPr="00F26EF7" w:rsidRDefault="00D4646A" w:rsidP="00856037">
      <w:pPr>
        <w:outlineLvl w:val="0"/>
        <w:rPr>
          <w:b/>
          <w:sz w:val="24"/>
          <w:szCs w:val="24"/>
          <w:lang w:val="en-US"/>
        </w:rPr>
      </w:pPr>
      <w:r w:rsidRPr="00F26EF7">
        <w:rPr>
          <w:b/>
          <w:bCs/>
          <w:sz w:val="24"/>
          <w:szCs w:val="24"/>
          <w:lang w:val="en-US"/>
        </w:rPr>
        <w:lastRenderedPageBreak/>
        <w:t>References</w:t>
      </w:r>
    </w:p>
    <w:p w14:paraId="7C3AE3B1" w14:textId="7D32A463" w:rsidR="00F405BC" w:rsidRPr="00F26EF7" w:rsidRDefault="00D4646A">
      <w:pPr>
        <w:rPr>
          <w:sz w:val="24"/>
          <w:szCs w:val="24"/>
          <w:lang w:val="en-US"/>
        </w:rPr>
      </w:pPr>
      <w:r w:rsidRPr="00F26EF7">
        <w:rPr>
          <w:sz w:val="24"/>
          <w:szCs w:val="24"/>
          <w:lang w:val="en-US"/>
        </w:rPr>
        <w:t xml:space="preserve">Alesina, Alberto, and Silvia Ardagna. 2010. Large Changes in Fiscal Policy: Taxes versus Spending. In </w:t>
      </w:r>
      <w:r w:rsidRPr="00F26EF7">
        <w:rPr>
          <w:i/>
          <w:sz w:val="24"/>
          <w:szCs w:val="24"/>
          <w:lang w:val="en-US"/>
        </w:rPr>
        <w:t>Tax Policy and The Economy</w:t>
      </w:r>
      <w:r w:rsidRPr="00F26EF7">
        <w:rPr>
          <w:sz w:val="24"/>
          <w:szCs w:val="24"/>
          <w:lang w:val="en-US"/>
        </w:rPr>
        <w:t>, vol. 24, edited by Jeffrey R. Brown, 35–68. Chicago: University of Chicago Press.</w:t>
      </w:r>
    </w:p>
    <w:p w14:paraId="7A3DF99B" w14:textId="77777777" w:rsidR="00F405BC" w:rsidRPr="00F26EF7" w:rsidRDefault="00D4646A">
      <w:pPr>
        <w:rPr>
          <w:sz w:val="24"/>
          <w:szCs w:val="24"/>
          <w:lang w:val="en-US"/>
        </w:rPr>
      </w:pPr>
      <w:r w:rsidRPr="00F26EF7">
        <w:rPr>
          <w:sz w:val="24"/>
          <w:szCs w:val="24"/>
          <w:lang w:val="en-US"/>
        </w:rPr>
        <w:t xml:space="preserve">Alesina, Alberto and Allan Drazen. 1991. Why Are Stabilizations Delayed? </w:t>
      </w:r>
      <w:r w:rsidRPr="00F26EF7">
        <w:rPr>
          <w:i/>
          <w:sz w:val="24"/>
          <w:szCs w:val="24"/>
          <w:lang w:val="en-US"/>
        </w:rPr>
        <w:t>American Economic Review</w:t>
      </w:r>
      <w:r w:rsidRPr="00F26EF7">
        <w:rPr>
          <w:sz w:val="24"/>
          <w:szCs w:val="24"/>
          <w:lang w:val="en-US"/>
        </w:rPr>
        <w:t xml:space="preserve"> 81(5): 1170-1188.</w:t>
      </w:r>
    </w:p>
    <w:p w14:paraId="369D9656" w14:textId="77777777" w:rsidR="00F405BC" w:rsidRPr="00F26EF7" w:rsidRDefault="00D4646A">
      <w:pPr>
        <w:rPr>
          <w:sz w:val="24"/>
          <w:szCs w:val="24"/>
          <w:lang w:val="en-US"/>
        </w:rPr>
      </w:pPr>
      <w:r w:rsidRPr="00F26EF7">
        <w:rPr>
          <w:sz w:val="24"/>
          <w:szCs w:val="24"/>
          <w:lang w:val="en-US"/>
        </w:rPr>
        <w:t xml:space="preserve">Alesina, Alberto, Roberto Perotti and José Tavares. 1998. The Political Economy of Fiscal Adjustments. </w:t>
      </w:r>
      <w:r w:rsidRPr="00F26EF7">
        <w:rPr>
          <w:i/>
          <w:sz w:val="24"/>
          <w:szCs w:val="24"/>
          <w:lang w:val="en-US"/>
        </w:rPr>
        <w:t>Brookings Papers in Economic Activity – Macroeconomics</w:t>
      </w:r>
      <w:r w:rsidRPr="00F26EF7">
        <w:rPr>
          <w:sz w:val="24"/>
          <w:szCs w:val="24"/>
          <w:lang w:val="en-US"/>
        </w:rPr>
        <w:t xml:space="preserve"> 1: 197-266.</w:t>
      </w:r>
    </w:p>
    <w:p w14:paraId="14147FEC" w14:textId="1AD96EAB" w:rsidR="002A2536" w:rsidRPr="00F26EF7" w:rsidRDefault="00E721EF" w:rsidP="00856037">
      <w:pPr>
        <w:outlineLvl w:val="0"/>
        <w:rPr>
          <w:sz w:val="24"/>
          <w:szCs w:val="24"/>
          <w:lang w:val="en-US"/>
        </w:rPr>
      </w:pPr>
      <w:r w:rsidRPr="00F26EF7">
        <w:rPr>
          <w:sz w:val="24"/>
          <w:szCs w:val="24"/>
          <w:lang w:val="en-US"/>
        </w:rPr>
        <w:t xml:space="preserve">Almunia, Miguel, Agustín Bénétrix, Barry Eichengreen, Kevin O'Rourke, and Gisela Rua. 2010. From Great Depression to Great Credit Crisis: Similarities, Differences and Lessons. </w:t>
      </w:r>
      <w:r w:rsidRPr="00D1750E">
        <w:rPr>
          <w:i/>
          <w:sz w:val="24"/>
          <w:szCs w:val="24"/>
          <w:lang w:val="en-US"/>
        </w:rPr>
        <w:t>Economic Policy</w:t>
      </w:r>
      <w:r w:rsidRPr="00F26EF7">
        <w:rPr>
          <w:sz w:val="24"/>
          <w:szCs w:val="24"/>
          <w:lang w:val="en-US"/>
        </w:rPr>
        <w:t xml:space="preserve"> 25: 219–265.</w:t>
      </w:r>
    </w:p>
    <w:p w14:paraId="4DD09AD1" w14:textId="14A28163" w:rsidR="002F24D6" w:rsidRPr="00F26EF7" w:rsidRDefault="00991718" w:rsidP="002F24D6">
      <w:pPr>
        <w:rPr>
          <w:sz w:val="24"/>
          <w:szCs w:val="24"/>
          <w:lang w:val="en-US"/>
        </w:rPr>
      </w:pPr>
      <w:r>
        <w:rPr>
          <w:sz w:val="24"/>
          <w:szCs w:val="24"/>
          <w:lang w:val="en-US"/>
        </w:rPr>
        <w:t>Arpac,</w:t>
      </w:r>
      <w:r w:rsidR="002F24D6" w:rsidRPr="00F26EF7">
        <w:rPr>
          <w:sz w:val="24"/>
          <w:szCs w:val="24"/>
          <w:lang w:val="en-US"/>
        </w:rPr>
        <w:t xml:space="preserve"> Ozlem, Graham</w:t>
      </w:r>
      <w:r>
        <w:rPr>
          <w:sz w:val="24"/>
          <w:szCs w:val="24"/>
          <w:lang w:val="en-US"/>
        </w:rPr>
        <w:t xml:space="preserve"> </w:t>
      </w:r>
      <w:r w:rsidRPr="00F26EF7">
        <w:rPr>
          <w:sz w:val="24"/>
          <w:szCs w:val="24"/>
          <w:lang w:val="en-US"/>
        </w:rPr>
        <w:t>Bird</w:t>
      </w:r>
      <w:r w:rsidR="002F24D6" w:rsidRPr="00F26EF7">
        <w:rPr>
          <w:sz w:val="24"/>
          <w:szCs w:val="24"/>
          <w:lang w:val="en-US"/>
        </w:rPr>
        <w:t xml:space="preserve">, </w:t>
      </w:r>
      <w:r>
        <w:rPr>
          <w:sz w:val="24"/>
          <w:szCs w:val="24"/>
          <w:lang w:val="en-US"/>
        </w:rPr>
        <w:t xml:space="preserve">and </w:t>
      </w:r>
      <w:r w:rsidR="002F24D6" w:rsidRPr="00F26EF7">
        <w:rPr>
          <w:sz w:val="24"/>
          <w:szCs w:val="24"/>
          <w:lang w:val="en-US"/>
        </w:rPr>
        <w:t>Alex</w:t>
      </w:r>
      <w:r w:rsidRPr="00991718">
        <w:rPr>
          <w:sz w:val="24"/>
          <w:szCs w:val="24"/>
          <w:lang w:val="en-US"/>
        </w:rPr>
        <w:t xml:space="preserve"> </w:t>
      </w:r>
      <w:r>
        <w:rPr>
          <w:sz w:val="24"/>
          <w:szCs w:val="24"/>
          <w:lang w:val="en-US"/>
        </w:rPr>
        <w:t>Mandilaras</w:t>
      </w:r>
      <w:r w:rsidR="002F24D6" w:rsidRPr="00F26EF7">
        <w:rPr>
          <w:sz w:val="24"/>
          <w:szCs w:val="24"/>
          <w:lang w:val="en-US"/>
        </w:rPr>
        <w:t xml:space="preserve">. 2008. Stop Interrupting: An Empirical Analysis of the Implementation of IMF Programs. </w:t>
      </w:r>
      <w:r w:rsidR="002F24D6" w:rsidRPr="00F26EF7">
        <w:rPr>
          <w:i/>
          <w:sz w:val="24"/>
          <w:szCs w:val="24"/>
          <w:lang w:val="en-US"/>
        </w:rPr>
        <w:t>World Development</w:t>
      </w:r>
      <w:r w:rsidR="002F24D6" w:rsidRPr="00F26EF7">
        <w:rPr>
          <w:sz w:val="24"/>
          <w:szCs w:val="24"/>
          <w:lang w:val="en-US"/>
        </w:rPr>
        <w:t xml:space="preserve"> 36(9): 1493-513.</w:t>
      </w:r>
    </w:p>
    <w:p w14:paraId="569D31CA" w14:textId="283193E0" w:rsidR="00F405BC" w:rsidRPr="00F26EF7" w:rsidRDefault="00D4646A">
      <w:pPr>
        <w:rPr>
          <w:sz w:val="24"/>
          <w:szCs w:val="24"/>
          <w:lang w:val="en-US"/>
        </w:rPr>
      </w:pPr>
      <w:r w:rsidRPr="00F26EF7">
        <w:rPr>
          <w:sz w:val="24"/>
          <w:szCs w:val="24"/>
          <w:lang w:val="en-US"/>
        </w:rPr>
        <w:t>Atoyan, Rouben and Patrick</w:t>
      </w:r>
      <w:r w:rsidR="00991718">
        <w:rPr>
          <w:sz w:val="24"/>
          <w:szCs w:val="24"/>
          <w:lang w:val="en-US"/>
        </w:rPr>
        <w:t xml:space="preserve"> Conway</w:t>
      </w:r>
      <w:r w:rsidRPr="00F26EF7">
        <w:rPr>
          <w:sz w:val="24"/>
          <w:szCs w:val="24"/>
          <w:lang w:val="en-US"/>
        </w:rPr>
        <w:t xml:space="preserve">. 2006. Evaluating the Impact of IMF Programs: A Comparison of Matching and Instrumental-Variable Estimators. </w:t>
      </w:r>
      <w:r w:rsidRPr="00F26EF7">
        <w:rPr>
          <w:i/>
          <w:sz w:val="24"/>
          <w:szCs w:val="24"/>
          <w:lang w:val="en-US"/>
        </w:rPr>
        <w:t>Review of International Organizations</w:t>
      </w:r>
      <w:r w:rsidRPr="00F26EF7">
        <w:rPr>
          <w:sz w:val="24"/>
          <w:szCs w:val="24"/>
          <w:lang w:val="en-US"/>
        </w:rPr>
        <w:t xml:space="preserve"> 1 (2): 99–124. </w:t>
      </w:r>
    </w:p>
    <w:p w14:paraId="678BF656" w14:textId="77777777" w:rsidR="00F405BC" w:rsidRPr="00F26EF7" w:rsidRDefault="00D4646A">
      <w:pPr>
        <w:rPr>
          <w:sz w:val="24"/>
          <w:szCs w:val="24"/>
          <w:lang w:val="en-US"/>
        </w:rPr>
      </w:pPr>
      <w:r w:rsidRPr="00F26EF7">
        <w:rPr>
          <w:sz w:val="24"/>
          <w:szCs w:val="24"/>
          <w:lang w:val="en-US"/>
        </w:rPr>
        <w:t xml:space="preserve">Auvinen, Juha Y. 1996. IMF intervention and political protest in the third world: a conventional wisdom refined. </w:t>
      </w:r>
      <w:r w:rsidRPr="00F26EF7">
        <w:rPr>
          <w:i/>
          <w:sz w:val="24"/>
          <w:szCs w:val="24"/>
          <w:lang w:val="en-US"/>
        </w:rPr>
        <w:t>Third World Quarterly</w:t>
      </w:r>
      <w:r w:rsidRPr="00F26EF7">
        <w:rPr>
          <w:sz w:val="24"/>
          <w:szCs w:val="24"/>
          <w:lang w:val="en-US"/>
        </w:rPr>
        <w:t xml:space="preserve"> 17(3): 377–400.</w:t>
      </w:r>
    </w:p>
    <w:p w14:paraId="7F7626EB" w14:textId="3CA95918" w:rsidR="00F405BC" w:rsidRPr="00F26EF7" w:rsidRDefault="00D4646A">
      <w:pPr>
        <w:rPr>
          <w:sz w:val="24"/>
          <w:szCs w:val="24"/>
          <w:lang w:val="en-US"/>
        </w:rPr>
      </w:pPr>
      <w:r w:rsidRPr="00F26EF7">
        <w:rPr>
          <w:sz w:val="24"/>
          <w:szCs w:val="24"/>
          <w:lang w:val="en-US"/>
        </w:rPr>
        <w:t>Aziz, Omar G. and Anil V.</w:t>
      </w:r>
      <w:r w:rsidR="00F819EA">
        <w:rPr>
          <w:sz w:val="24"/>
          <w:szCs w:val="24"/>
          <w:lang w:val="en-US"/>
        </w:rPr>
        <w:t xml:space="preserve"> Mishra.</w:t>
      </w:r>
      <w:r w:rsidR="00F819EA" w:rsidRPr="00F26EF7">
        <w:rPr>
          <w:sz w:val="24"/>
          <w:szCs w:val="24"/>
          <w:lang w:val="en-US"/>
        </w:rPr>
        <w:t xml:space="preserve"> </w:t>
      </w:r>
      <w:r w:rsidRPr="00F26EF7">
        <w:rPr>
          <w:sz w:val="24"/>
          <w:szCs w:val="24"/>
          <w:lang w:val="en-US"/>
        </w:rPr>
        <w:t xml:space="preserve"> 2016. Determinants of FDI inflows to Arab economies.  </w:t>
      </w:r>
      <w:r w:rsidRPr="00F26EF7">
        <w:rPr>
          <w:i/>
          <w:sz w:val="24"/>
          <w:szCs w:val="24"/>
          <w:lang w:val="en-US"/>
        </w:rPr>
        <w:t xml:space="preserve">Journal of International Trade &amp; Economic Development </w:t>
      </w:r>
      <w:r w:rsidRPr="00F26EF7">
        <w:rPr>
          <w:sz w:val="24"/>
          <w:szCs w:val="24"/>
          <w:lang w:val="en-US"/>
        </w:rPr>
        <w:t xml:space="preserve">25(3): 325-356. </w:t>
      </w:r>
    </w:p>
    <w:p w14:paraId="72BFF1DD" w14:textId="2062C143" w:rsidR="00F405BC" w:rsidRPr="00F26EF7" w:rsidRDefault="00991718">
      <w:pPr>
        <w:rPr>
          <w:sz w:val="24"/>
          <w:szCs w:val="24"/>
          <w:lang w:val="en-US"/>
        </w:rPr>
      </w:pPr>
      <w:r>
        <w:rPr>
          <w:sz w:val="24"/>
          <w:szCs w:val="24"/>
          <w:lang w:val="en-US"/>
        </w:rPr>
        <w:t>Barro, Robert J. and</w:t>
      </w:r>
      <w:r w:rsidR="00D4646A" w:rsidRPr="00F26EF7">
        <w:rPr>
          <w:sz w:val="24"/>
          <w:szCs w:val="24"/>
          <w:lang w:val="en-US"/>
        </w:rPr>
        <w:t xml:space="preserve"> </w:t>
      </w:r>
      <w:r w:rsidR="00F819EA">
        <w:rPr>
          <w:sz w:val="24"/>
          <w:szCs w:val="24"/>
          <w:lang w:val="en-US"/>
        </w:rPr>
        <w:t>J</w:t>
      </w:r>
      <w:r w:rsidR="00D4646A" w:rsidRPr="00F26EF7">
        <w:rPr>
          <w:sz w:val="24"/>
          <w:szCs w:val="24"/>
          <w:lang w:val="en-US"/>
        </w:rPr>
        <w:t xml:space="preserve">ong-Wha </w:t>
      </w:r>
      <w:r w:rsidR="00F819EA" w:rsidRPr="00F26EF7">
        <w:rPr>
          <w:sz w:val="24"/>
          <w:szCs w:val="24"/>
          <w:lang w:val="en-US"/>
        </w:rPr>
        <w:t>L</w:t>
      </w:r>
      <w:r w:rsidR="00F819EA">
        <w:rPr>
          <w:sz w:val="24"/>
          <w:szCs w:val="24"/>
          <w:lang w:val="en-US"/>
        </w:rPr>
        <w:t>ee.</w:t>
      </w:r>
      <w:r w:rsidR="00F819EA" w:rsidRPr="00F26EF7">
        <w:rPr>
          <w:sz w:val="24"/>
          <w:szCs w:val="24"/>
          <w:lang w:val="en-US"/>
        </w:rPr>
        <w:t xml:space="preserve"> </w:t>
      </w:r>
      <w:r w:rsidR="00D4646A" w:rsidRPr="00F26EF7">
        <w:rPr>
          <w:sz w:val="24"/>
          <w:szCs w:val="24"/>
          <w:lang w:val="en-US"/>
        </w:rPr>
        <w:t xml:space="preserve">2005. IMF programs: who is chosen and what are the effects? </w:t>
      </w:r>
      <w:r w:rsidR="00D4646A" w:rsidRPr="00F26EF7">
        <w:rPr>
          <w:i/>
          <w:sz w:val="24"/>
          <w:szCs w:val="24"/>
          <w:lang w:val="en-US"/>
        </w:rPr>
        <w:t>Journal of Monetary Economics</w:t>
      </w:r>
      <w:r w:rsidR="00D4646A" w:rsidRPr="00F26EF7">
        <w:rPr>
          <w:sz w:val="24"/>
          <w:szCs w:val="24"/>
          <w:lang w:val="en-US"/>
        </w:rPr>
        <w:t xml:space="preserve"> 52(7): 1245–1269.</w:t>
      </w:r>
    </w:p>
    <w:p w14:paraId="48AEAC16" w14:textId="72B5FCD6" w:rsidR="00F405BC" w:rsidRPr="00F26EF7" w:rsidRDefault="00D4646A">
      <w:pPr>
        <w:rPr>
          <w:sz w:val="24"/>
          <w:szCs w:val="24"/>
          <w:lang w:val="en-US"/>
        </w:rPr>
      </w:pPr>
      <w:r w:rsidRPr="00F26EF7">
        <w:rPr>
          <w:sz w:val="24"/>
          <w:szCs w:val="24"/>
          <w:lang w:val="en-US"/>
        </w:rPr>
        <w:t>Bas,</w:t>
      </w:r>
      <w:r w:rsidRPr="00F26EF7">
        <w:rPr>
          <w:lang w:val="en-US"/>
        </w:rPr>
        <w:t xml:space="preserve"> </w:t>
      </w:r>
      <w:r w:rsidR="0009367F">
        <w:rPr>
          <w:sz w:val="24"/>
          <w:szCs w:val="24"/>
          <w:lang w:val="en-US"/>
        </w:rPr>
        <w:t xml:space="preserve">Muhammet A.  and </w:t>
      </w:r>
      <w:r w:rsidRPr="00F26EF7">
        <w:rPr>
          <w:sz w:val="24"/>
          <w:szCs w:val="24"/>
          <w:lang w:val="en-US"/>
        </w:rPr>
        <w:t xml:space="preserve">Randall W. Stone 2014. Adverse selection and growth under IMF programs. </w:t>
      </w:r>
      <w:r w:rsidRPr="00F26EF7">
        <w:rPr>
          <w:i/>
          <w:sz w:val="24"/>
          <w:szCs w:val="24"/>
          <w:lang w:val="en-US"/>
        </w:rPr>
        <w:t xml:space="preserve">Review of International Organizations </w:t>
      </w:r>
      <w:r w:rsidRPr="00F26EF7">
        <w:rPr>
          <w:sz w:val="24"/>
          <w:szCs w:val="24"/>
          <w:lang w:val="en-US"/>
        </w:rPr>
        <w:t>9(1): 1–28.</w:t>
      </w:r>
    </w:p>
    <w:p w14:paraId="700CAB1F" w14:textId="77777777" w:rsidR="00F405BC" w:rsidRPr="00F26EF7" w:rsidRDefault="00D4646A">
      <w:pPr>
        <w:rPr>
          <w:sz w:val="24"/>
          <w:szCs w:val="24"/>
          <w:lang w:val="en-US"/>
        </w:rPr>
      </w:pPr>
      <w:r w:rsidRPr="00F26EF7">
        <w:rPr>
          <w:sz w:val="24"/>
          <w:szCs w:val="24"/>
          <w:lang w:val="en-US"/>
        </w:rPr>
        <w:t>Bhavnani, Rikhil, and Saumitra Jha. 2014. Gandhi's Gift: Lessons for Peaceful Reform from India's Struggle for Democracy</w:t>
      </w:r>
      <w:r w:rsidRPr="00F26EF7">
        <w:rPr>
          <w:i/>
          <w:sz w:val="24"/>
          <w:szCs w:val="24"/>
          <w:lang w:val="en-US"/>
        </w:rPr>
        <w:t>. Economics of Peace and Security Journal</w:t>
      </w:r>
      <w:r w:rsidRPr="00F26EF7">
        <w:rPr>
          <w:sz w:val="24"/>
          <w:szCs w:val="24"/>
          <w:lang w:val="en-US"/>
        </w:rPr>
        <w:t xml:space="preserve"> 9 (1):76-88.</w:t>
      </w:r>
    </w:p>
    <w:p w14:paraId="310DAA04" w14:textId="77777777" w:rsidR="00F405BC" w:rsidRPr="00F26EF7" w:rsidRDefault="00D4646A">
      <w:pPr>
        <w:rPr>
          <w:sz w:val="24"/>
          <w:szCs w:val="24"/>
          <w:lang w:val="en-US"/>
        </w:rPr>
      </w:pPr>
      <w:r w:rsidRPr="00F26EF7">
        <w:rPr>
          <w:sz w:val="24"/>
          <w:szCs w:val="24"/>
          <w:lang w:val="en-US"/>
        </w:rPr>
        <w:lastRenderedPageBreak/>
        <w:t xml:space="preserve">Binder, Michael and Marcel Bluhm. 2017. On the conditional effects of IMF program participation on output growth. </w:t>
      </w:r>
      <w:r w:rsidRPr="00F26EF7">
        <w:rPr>
          <w:i/>
          <w:sz w:val="24"/>
          <w:szCs w:val="24"/>
          <w:lang w:val="en-US"/>
        </w:rPr>
        <w:t>Journal of Macroeconomics</w:t>
      </w:r>
      <w:r w:rsidRPr="00F26EF7">
        <w:rPr>
          <w:sz w:val="24"/>
          <w:szCs w:val="24"/>
          <w:lang w:val="en-US"/>
        </w:rPr>
        <w:t xml:space="preserve"> 51: 192-214. </w:t>
      </w:r>
    </w:p>
    <w:p w14:paraId="744028B4" w14:textId="77777777" w:rsidR="00F405BC" w:rsidRPr="00F26EF7" w:rsidRDefault="00D4646A">
      <w:pPr>
        <w:rPr>
          <w:sz w:val="24"/>
          <w:szCs w:val="24"/>
          <w:lang w:val="en-US"/>
        </w:rPr>
      </w:pPr>
      <w:r w:rsidRPr="00F26EF7">
        <w:rPr>
          <w:sz w:val="24"/>
          <w:szCs w:val="24"/>
          <w:lang w:val="en-US"/>
        </w:rPr>
        <w:t xml:space="preserve">Birchler, Kassandra, Sophia Limpach and Katharina Michaelowa. 2016. Aid Modalities Matter: The Impact of Different World Bank and IMF Programs on Democratization in Developing Countries. </w:t>
      </w:r>
      <w:r w:rsidRPr="00F26EF7">
        <w:rPr>
          <w:i/>
          <w:sz w:val="24"/>
          <w:szCs w:val="24"/>
          <w:lang w:val="en-US"/>
        </w:rPr>
        <w:t>International Studies Quarterly</w:t>
      </w:r>
      <w:r w:rsidRPr="00F26EF7">
        <w:rPr>
          <w:sz w:val="24"/>
          <w:szCs w:val="24"/>
          <w:lang w:val="en-US"/>
        </w:rPr>
        <w:t xml:space="preserve"> 60 (3): 427-439.</w:t>
      </w:r>
    </w:p>
    <w:p w14:paraId="5F564647" w14:textId="77777777" w:rsidR="00F405BC" w:rsidRPr="00F26EF7" w:rsidRDefault="00D4646A">
      <w:pPr>
        <w:rPr>
          <w:sz w:val="24"/>
          <w:szCs w:val="24"/>
          <w:lang w:val="en-US"/>
        </w:rPr>
      </w:pPr>
      <w:r w:rsidRPr="006D6844">
        <w:rPr>
          <w:sz w:val="24"/>
          <w:szCs w:val="24"/>
          <w:lang w:val="en-US"/>
        </w:rPr>
        <w:t xml:space="preserve">Boschee, Elizabeth, Jennifer Lautenschlager, Sean O'Brien, Steve Shellman, James Starz, and Michael Ward. 2015. </w:t>
      </w:r>
      <w:r w:rsidRPr="00F26EF7">
        <w:rPr>
          <w:sz w:val="24"/>
          <w:szCs w:val="24"/>
          <w:lang w:val="en-US"/>
        </w:rPr>
        <w:t>ICEWS Coded Event Data. doi:10.7910/DVN/28075, Harvard Dataverse, V15.</w:t>
      </w:r>
    </w:p>
    <w:p w14:paraId="0BD2FBBF" w14:textId="77777777" w:rsidR="00F405BC" w:rsidRPr="00F26EF7" w:rsidRDefault="00D4646A">
      <w:pPr>
        <w:rPr>
          <w:sz w:val="24"/>
          <w:szCs w:val="24"/>
          <w:lang w:val="en-US"/>
        </w:rPr>
      </w:pPr>
      <w:r w:rsidRPr="00F26EF7">
        <w:rPr>
          <w:sz w:val="24"/>
          <w:szCs w:val="24"/>
          <w:lang w:val="en-US"/>
        </w:rPr>
        <w:t>Bunce, Valerie. 1999. S</w:t>
      </w:r>
      <w:r w:rsidRPr="00F26EF7">
        <w:rPr>
          <w:i/>
          <w:sz w:val="24"/>
          <w:szCs w:val="24"/>
          <w:lang w:val="en-US"/>
        </w:rPr>
        <w:t>ubversive Institutions: The Design and the Destruction of Socialism and the State.</w:t>
      </w:r>
      <w:r w:rsidRPr="00F26EF7">
        <w:rPr>
          <w:sz w:val="24"/>
          <w:szCs w:val="24"/>
          <w:lang w:val="en-US"/>
        </w:rPr>
        <w:t xml:space="preserve"> New York: Cambridge University Press.</w:t>
      </w:r>
    </w:p>
    <w:p w14:paraId="38107BB8" w14:textId="77777777" w:rsidR="00F405BC" w:rsidRPr="00F26EF7" w:rsidRDefault="00D4646A">
      <w:pPr>
        <w:rPr>
          <w:sz w:val="24"/>
          <w:szCs w:val="24"/>
          <w:lang w:val="en-US"/>
        </w:rPr>
      </w:pPr>
      <w:r w:rsidRPr="006D6844">
        <w:rPr>
          <w:sz w:val="24"/>
          <w:szCs w:val="24"/>
          <w:lang w:val="en-US"/>
        </w:rPr>
        <w:t xml:space="preserve">Bussmann, Margit and Gerald Schneider. </w:t>
      </w:r>
      <w:r w:rsidRPr="00F26EF7">
        <w:rPr>
          <w:sz w:val="24"/>
          <w:szCs w:val="24"/>
          <w:lang w:val="en-US"/>
        </w:rPr>
        <w:t xml:space="preserve">2007. When Globalization Discontent Turns Violent: Foreign Economic Liberalization and War. </w:t>
      </w:r>
      <w:r w:rsidRPr="00F26EF7">
        <w:rPr>
          <w:i/>
          <w:sz w:val="24"/>
          <w:szCs w:val="24"/>
          <w:lang w:val="en-US"/>
        </w:rPr>
        <w:t>International Studies Quarter</w:t>
      </w:r>
      <w:r w:rsidRPr="00F26EF7">
        <w:rPr>
          <w:sz w:val="24"/>
          <w:szCs w:val="24"/>
          <w:lang w:val="en-US"/>
        </w:rPr>
        <w:t>ly 51 (1): 79-97.</w:t>
      </w:r>
    </w:p>
    <w:p w14:paraId="6B67178F" w14:textId="77777777" w:rsidR="00F405BC" w:rsidRDefault="00D4646A">
      <w:pPr>
        <w:rPr>
          <w:sz w:val="24"/>
          <w:szCs w:val="24"/>
          <w:lang w:val="en-US"/>
        </w:rPr>
      </w:pPr>
      <w:r w:rsidRPr="00F26EF7">
        <w:rPr>
          <w:sz w:val="24"/>
          <w:szCs w:val="24"/>
          <w:lang w:val="en-US"/>
        </w:rPr>
        <w:t xml:space="preserve">Casper, Brett A. 2017. IMF Programs and the Risk of a Coup d’état. </w:t>
      </w:r>
      <w:r w:rsidRPr="00F26EF7">
        <w:rPr>
          <w:i/>
          <w:sz w:val="24"/>
          <w:szCs w:val="24"/>
          <w:lang w:val="en-US"/>
        </w:rPr>
        <w:t xml:space="preserve">Journal of Conflict Resolution </w:t>
      </w:r>
      <w:r w:rsidRPr="00F26EF7">
        <w:rPr>
          <w:sz w:val="24"/>
          <w:szCs w:val="24"/>
          <w:lang w:val="en-US"/>
        </w:rPr>
        <w:t>61(5) 964-996.</w:t>
      </w:r>
    </w:p>
    <w:p w14:paraId="178CC1B4" w14:textId="0A4B96C9" w:rsidR="00CD199B" w:rsidRPr="00F26EF7" w:rsidRDefault="00CD199B">
      <w:pPr>
        <w:rPr>
          <w:sz w:val="24"/>
          <w:szCs w:val="24"/>
          <w:lang w:val="en-US"/>
        </w:rPr>
      </w:pPr>
      <w:r w:rsidRPr="00CD199B">
        <w:rPr>
          <w:sz w:val="24"/>
          <w:szCs w:val="24"/>
          <w:lang w:val="en-US"/>
        </w:rPr>
        <w:t>Chapman, T</w:t>
      </w:r>
      <w:r>
        <w:rPr>
          <w:sz w:val="24"/>
          <w:szCs w:val="24"/>
          <w:lang w:val="en-US"/>
        </w:rPr>
        <w:t>errence</w:t>
      </w:r>
      <w:r w:rsidRPr="00CD199B">
        <w:rPr>
          <w:sz w:val="24"/>
          <w:szCs w:val="24"/>
          <w:lang w:val="en-US"/>
        </w:rPr>
        <w:t>, S</w:t>
      </w:r>
      <w:r>
        <w:rPr>
          <w:sz w:val="24"/>
          <w:szCs w:val="24"/>
          <w:lang w:val="en-US"/>
        </w:rPr>
        <w:t>ongying</w:t>
      </w:r>
      <w:r w:rsidRPr="00CD199B">
        <w:rPr>
          <w:sz w:val="24"/>
          <w:szCs w:val="24"/>
          <w:lang w:val="en-US"/>
        </w:rPr>
        <w:t xml:space="preserve"> Fang, </w:t>
      </w:r>
      <w:r>
        <w:rPr>
          <w:sz w:val="24"/>
          <w:szCs w:val="24"/>
          <w:lang w:val="en-US"/>
        </w:rPr>
        <w:t>Xi</w:t>
      </w:r>
      <w:r w:rsidR="00834362">
        <w:rPr>
          <w:sz w:val="24"/>
          <w:szCs w:val="24"/>
          <w:lang w:val="en-US"/>
        </w:rPr>
        <w:t>n</w:t>
      </w:r>
      <w:r w:rsidRPr="00CD199B">
        <w:rPr>
          <w:sz w:val="24"/>
          <w:szCs w:val="24"/>
          <w:lang w:val="en-US"/>
        </w:rPr>
        <w:t xml:space="preserve"> Li, </w:t>
      </w:r>
      <w:r w:rsidR="00834362">
        <w:rPr>
          <w:sz w:val="24"/>
          <w:szCs w:val="24"/>
          <w:lang w:val="en-US"/>
        </w:rPr>
        <w:t>and Randall</w:t>
      </w:r>
      <w:r w:rsidRPr="00CD199B">
        <w:rPr>
          <w:sz w:val="24"/>
          <w:szCs w:val="24"/>
          <w:lang w:val="en-US"/>
        </w:rPr>
        <w:t xml:space="preserve"> </w:t>
      </w:r>
      <w:r w:rsidR="00834362">
        <w:rPr>
          <w:sz w:val="24"/>
          <w:szCs w:val="24"/>
          <w:lang w:val="en-US"/>
        </w:rPr>
        <w:t xml:space="preserve">W. </w:t>
      </w:r>
      <w:r w:rsidRPr="00CD199B">
        <w:rPr>
          <w:sz w:val="24"/>
          <w:szCs w:val="24"/>
          <w:lang w:val="en-US"/>
        </w:rPr>
        <w:t>Stone 201</w:t>
      </w:r>
      <w:r>
        <w:rPr>
          <w:sz w:val="24"/>
          <w:szCs w:val="24"/>
          <w:lang w:val="en-US"/>
        </w:rPr>
        <w:t>7</w:t>
      </w:r>
      <w:r w:rsidRPr="00CD199B">
        <w:rPr>
          <w:sz w:val="24"/>
          <w:szCs w:val="24"/>
          <w:lang w:val="en-US"/>
        </w:rPr>
        <w:t xml:space="preserve">. Mixed signals: IMF lending and capital markets. </w:t>
      </w:r>
      <w:r w:rsidRPr="00834362">
        <w:rPr>
          <w:i/>
          <w:sz w:val="24"/>
          <w:szCs w:val="24"/>
          <w:lang w:val="en-US"/>
        </w:rPr>
        <w:t>British Journal of Political Science</w:t>
      </w:r>
      <w:r w:rsidRPr="00CD199B">
        <w:rPr>
          <w:sz w:val="24"/>
          <w:szCs w:val="24"/>
          <w:lang w:val="en-US"/>
        </w:rPr>
        <w:t>, 47(2), 329–349.</w:t>
      </w:r>
    </w:p>
    <w:p w14:paraId="6CFFC15B" w14:textId="77777777" w:rsidR="00F405BC" w:rsidRPr="00F26EF7" w:rsidRDefault="00D4646A">
      <w:pPr>
        <w:rPr>
          <w:sz w:val="24"/>
          <w:szCs w:val="24"/>
          <w:lang w:val="en-US"/>
        </w:rPr>
      </w:pPr>
      <w:r w:rsidRPr="00F26EF7">
        <w:rPr>
          <w:sz w:val="24"/>
          <w:szCs w:val="24"/>
          <w:lang w:val="en-US"/>
        </w:rPr>
        <w:t xml:space="preserve">Chenoweth, Erica, and Maria J. Stephan. 2011. </w:t>
      </w:r>
      <w:r w:rsidRPr="00F26EF7">
        <w:rPr>
          <w:i/>
          <w:sz w:val="24"/>
          <w:szCs w:val="24"/>
          <w:lang w:val="en-US"/>
        </w:rPr>
        <w:t>Why Civil Resistance Works: The Strategic Logic of Nonviolent Conflict.</w:t>
      </w:r>
      <w:r w:rsidRPr="00F26EF7">
        <w:rPr>
          <w:sz w:val="24"/>
          <w:szCs w:val="24"/>
          <w:lang w:val="en-US"/>
        </w:rPr>
        <w:t xml:space="preserve"> New York, NY: Columbia University Press.</w:t>
      </w:r>
    </w:p>
    <w:p w14:paraId="2AA9BC5E" w14:textId="77777777" w:rsidR="00F405BC" w:rsidRPr="00F26EF7" w:rsidRDefault="00D4646A">
      <w:pPr>
        <w:rPr>
          <w:sz w:val="24"/>
          <w:szCs w:val="24"/>
          <w:lang w:val="en-US"/>
        </w:rPr>
      </w:pPr>
      <w:r w:rsidRPr="00F26EF7">
        <w:rPr>
          <w:sz w:val="24"/>
          <w:szCs w:val="24"/>
          <w:lang w:val="en-US"/>
        </w:rPr>
        <w:t xml:space="preserve">Chua, Amy. 2002. </w:t>
      </w:r>
      <w:r w:rsidRPr="00F26EF7">
        <w:rPr>
          <w:i/>
          <w:sz w:val="24"/>
          <w:szCs w:val="24"/>
          <w:lang w:val="en-US"/>
        </w:rPr>
        <w:t>World on Fire: How Exporting Free Market Democracy Breeds Ethnical Hatred and Global Instability.</w:t>
      </w:r>
      <w:r w:rsidRPr="00F26EF7">
        <w:rPr>
          <w:sz w:val="24"/>
          <w:szCs w:val="24"/>
          <w:lang w:val="en-US"/>
        </w:rPr>
        <w:t xml:space="preserve"> New York: Doubleday.</w:t>
      </w:r>
    </w:p>
    <w:p w14:paraId="4CAC22D0" w14:textId="77777777" w:rsidR="00F405BC" w:rsidRPr="00F26EF7" w:rsidRDefault="00D4646A">
      <w:pPr>
        <w:rPr>
          <w:sz w:val="24"/>
          <w:szCs w:val="24"/>
          <w:lang w:val="en-US"/>
        </w:rPr>
      </w:pPr>
      <w:r w:rsidRPr="00F26EF7">
        <w:rPr>
          <w:sz w:val="24"/>
          <w:szCs w:val="24"/>
          <w:lang w:val="en-US"/>
        </w:rPr>
        <w:t xml:space="preserve">Collier, Paul, and Anke Hoeffler. 2004. Greed and Grievance in Civil War. </w:t>
      </w:r>
      <w:r w:rsidRPr="00F26EF7">
        <w:rPr>
          <w:i/>
          <w:sz w:val="24"/>
          <w:szCs w:val="24"/>
          <w:lang w:val="en-US"/>
        </w:rPr>
        <w:t>Oxford Economic Papers</w:t>
      </w:r>
      <w:r w:rsidRPr="00F26EF7">
        <w:rPr>
          <w:sz w:val="24"/>
          <w:szCs w:val="24"/>
          <w:lang w:val="en-US"/>
        </w:rPr>
        <w:t xml:space="preserve"> 56 (4):563-95.</w:t>
      </w:r>
    </w:p>
    <w:p w14:paraId="02C0560A" w14:textId="5EF787DB" w:rsidR="00F405BC" w:rsidRPr="00F26EF7" w:rsidRDefault="00D1750E">
      <w:pPr>
        <w:rPr>
          <w:sz w:val="24"/>
          <w:szCs w:val="24"/>
          <w:lang w:val="en-US"/>
        </w:rPr>
      </w:pPr>
      <w:r>
        <w:rPr>
          <w:sz w:val="24"/>
          <w:szCs w:val="24"/>
          <w:lang w:val="en-US"/>
        </w:rPr>
        <w:t>Conway, P. 2007. The Revolving Door: Duration and Recidivism in IMF P</w:t>
      </w:r>
      <w:r w:rsidR="00D4646A" w:rsidRPr="00F26EF7">
        <w:rPr>
          <w:sz w:val="24"/>
          <w:szCs w:val="24"/>
          <w:lang w:val="en-US"/>
        </w:rPr>
        <w:t xml:space="preserve">rograms. </w:t>
      </w:r>
      <w:r w:rsidR="00D4646A" w:rsidRPr="00F26EF7">
        <w:rPr>
          <w:i/>
          <w:sz w:val="24"/>
          <w:szCs w:val="24"/>
          <w:lang w:val="en-US"/>
        </w:rPr>
        <w:t>Review of Economics and Statistics</w:t>
      </w:r>
      <w:r w:rsidR="00D4646A" w:rsidRPr="00F26EF7">
        <w:rPr>
          <w:sz w:val="24"/>
          <w:szCs w:val="24"/>
          <w:lang w:val="en-US"/>
        </w:rPr>
        <w:t xml:space="preserve"> 89(2): 205–220.</w:t>
      </w:r>
    </w:p>
    <w:p w14:paraId="27B17442" w14:textId="3DAFEBFE" w:rsidR="00F405BC" w:rsidRPr="00F26EF7" w:rsidRDefault="00D4646A">
      <w:pPr>
        <w:rPr>
          <w:sz w:val="24"/>
          <w:szCs w:val="24"/>
          <w:lang w:val="en-US"/>
        </w:rPr>
      </w:pPr>
      <w:r w:rsidRPr="006D6844">
        <w:rPr>
          <w:sz w:val="24"/>
          <w:szCs w:val="24"/>
          <w:lang w:val="en-US"/>
        </w:rPr>
        <w:t xml:space="preserve">Dahl, Marianne, Scott Gates, Kristian Skrede Gleditsch, and Belen </w:t>
      </w:r>
      <w:r w:rsidR="0009367F" w:rsidRPr="006D6844">
        <w:rPr>
          <w:sz w:val="24"/>
          <w:szCs w:val="24"/>
          <w:lang w:val="en-US"/>
        </w:rPr>
        <w:t xml:space="preserve">Gonzalez. </w:t>
      </w:r>
      <w:r w:rsidR="0009367F">
        <w:rPr>
          <w:sz w:val="24"/>
          <w:szCs w:val="24"/>
          <w:lang w:val="en-US"/>
        </w:rPr>
        <w:t>2017. Accounting for numbers: Actor profiles and the choice of v</w:t>
      </w:r>
      <w:r w:rsidRPr="00F26EF7">
        <w:rPr>
          <w:sz w:val="24"/>
          <w:szCs w:val="24"/>
          <w:lang w:val="en-US"/>
        </w:rPr>
        <w:t xml:space="preserve">iolent and </w:t>
      </w:r>
      <w:r w:rsidR="0009367F">
        <w:rPr>
          <w:sz w:val="24"/>
          <w:szCs w:val="24"/>
          <w:lang w:val="en-US"/>
        </w:rPr>
        <w:t>n</w:t>
      </w:r>
      <w:r w:rsidR="005D3E4B" w:rsidRPr="00F26EF7">
        <w:rPr>
          <w:sz w:val="24"/>
          <w:szCs w:val="24"/>
          <w:lang w:val="en-US"/>
        </w:rPr>
        <w:t>onviol</w:t>
      </w:r>
      <w:r w:rsidR="0009367F">
        <w:rPr>
          <w:sz w:val="24"/>
          <w:szCs w:val="24"/>
          <w:lang w:val="en-US"/>
        </w:rPr>
        <w:t>ent t</w:t>
      </w:r>
      <w:r w:rsidRPr="00F26EF7">
        <w:rPr>
          <w:sz w:val="24"/>
          <w:szCs w:val="24"/>
          <w:lang w:val="en-US"/>
        </w:rPr>
        <w:t>actics. Typescript, Peace Research Institute Oslo.</w:t>
      </w:r>
    </w:p>
    <w:p w14:paraId="2E6320A5" w14:textId="5923B486" w:rsidR="00C1380F" w:rsidRPr="00F26EF7" w:rsidRDefault="00C1380F">
      <w:pPr>
        <w:rPr>
          <w:sz w:val="24"/>
          <w:szCs w:val="24"/>
          <w:lang w:val="en-US"/>
        </w:rPr>
      </w:pPr>
      <w:r w:rsidRPr="00F26EF7">
        <w:rPr>
          <w:sz w:val="24"/>
          <w:szCs w:val="24"/>
          <w:lang w:val="en-US"/>
        </w:rPr>
        <w:lastRenderedPageBreak/>
        <w:t>Dahrendorf, Ralf</w:t>
      </w:r>
      <w:r w:rsidR="00183906" w:rsidRPr="00F26EF7">
        <w:rPr>
          <w:sz w:val="24"/>
          <w:szCs w:val="24"/>
          <w:lang w:val="en-US"/>
        </w:rPr>
        <w:t>. 1959.</w:t>
      </w:r>
      <w:r w:rsidR="00183906" w:rsidRPr="00F26EF7">
        <w:rPr>
          <w:lang w:val="en-US"/>
        </w:rPr>
        <w:t xml:space="preserve"> </w:t>
      </w:r>
      <w:r w:rsidR="00183906" w:rsidRPr="00F26EF7">
        <w:rPr>
          <w:i/>
          <w:sz w:val="24"/>
          <w:szCs w:val="24"/>
          <w:lang w:val="en-US"/>
        </w:rPr>
        <w:t>Class and Class Conflict in Industrial Society</w:t>
      </w:r>
      <w:r w:rsidR="00183906" w:rsidRPr="00F26EF7">
        <w:rPr>
          <w:sz w:val="24"/>
          <w:szCs w:val="24"/>
          <w:lang w:val="en-US"/>
        </w:rPr>
        <w:t>. Stanford</w:t>
      </w:r>
      <w:r w:rsidR="00D1750E">
        <w:rPr>
          <w:sz w:val="24"/>
          <w:szCs w:val="24"/>
          <w:lang w:val="en-US"/>
        </w:rPr>
        <w:t>, CA</w:t>
      </w:r>
      <w:r w:rsidR="00183906" w:rsidRPr="00F26EF7">
        <w:rPr>
          <w:sz w:val="24"/>
          <w:szCs w:val="24"/>
          <w:lang w:val="en-US"/>
        </w:rPr>
        <w:t xml:space="preserve">: Stanford University Press.  </w:t>
      </w:r>
      <w:r w:rsidRPr="00F26EF7">
        <w:rPr>
          <w:sz w:val="24"/>
          <w:szCs w:val="24"/>
          <w:lang w:val="en-US"/>
        </w:rPr>
        <w:t xml:space="preserve"> </w:t>
      </w:r>
    </w:p>
    <w:p w14:paraId="5DC5CB6A" w14:textId="77777777" w:rsidR="00F405BC" w:rsidRPr="00F26EF7" w:rsidRDefault="00D4646A">
      <w:pPr>
        <w:rPr>
          <w:sz w:val="24"/>
          <w:szCs w:val="24"/>
          <w:lang w:val="en-US"/>
        </w:rPr>
      </w:pPr>
      <w:r w:rsidRPr="00F26EF7">
        <w:rPr>
          <w:sz w:val="24"/>
          <w:szCs w:val="24"/>
          <w:lang w:val="en-US"/>
        </w:rPr>
        <w:t xml:space="preserve">Davies, John. 1962. Toward a Theory of Revolution. </w:t>
      </w:r>
      <w:r w:rsidRPr="00F26EF7">
        <w:rPr>
          <w:i/>
          <w:sz w:val="24"/>
          <w:szCs w:val="24"/>
          <w:lang w:val="en-US"/>
        </w:rPr>
        <w:t>American Sociological Review</w:t>
      </w:r>
      <w:r w:rsidRPr="00F26EF7">
        <w:rPr>
          <w:sz w:val="24"/>
          <w:szCs w:val="24"/>
          <w:lang w:val="en-US"/>
        </w:rPr>
        <w:t xml:space="preserve"> 27:5-18.</w:t>
      </w:r>
    </w:p>
    <w:p w14:paraId="5346B564" w14:textId="1395719D" w:rsidR="007B0755" w:rsidRPr="00F26EF7" w:rsidRDefault="007B0755" w:rsidP="007B0755">
      <w:pPr>
        <w:rPr>
          <w:sz w:val="24"/>
          <w:szCs w:val="24"/>
          <w:lang w:val="en-US"/>
        </w:rPr>
      </w:pPr>
      <w:r w:rsidRPr="00F26EF7">
        <w:rPr>
          <w:sz w:val="24"/>
          <w:szCs w:val="24"/>
          <w:lang w:val="en-US"/>
        </w:rPr>
        <w:t>de</w:t>
      </w:r>
      <w:r w:rsidRPr="00F26EF7">
        <w:rPr>
          <w:lang w:val="en-US"/>
        </w:rPr>
        <w:t xml:space="preserve"> Beaufort Wijnholds, Onno. 2011. </w:t>
      </w:r>
      <w:r w:rsidRPr="00F26EF7">
        <w:rPr>
          <w:i/>
          <w:sz w:val="24"/>
          <w:szCs w:val="24"/>
          <w:lang w:val="en-US"/>
        </w:rPr>
        <w:t>Fighting Financial Fires. An IMF Insider Account</w:t>
      </w:r>
      <w:r w:rsidRPr="00F26EF7">
        <w:rPr>
          <w:sz w:val="24"/>
          <w:szCs w:val="24"/>
          <w:lang w:val="en-US"/>
        </w:rPr>
        <w:t xml:space="preserve">. </w:t>
      </w:r>
      <w:r w:rsidR="00C62F3F" w:rsidRPr="00F26EF7">
        <w:rPr>
          <w:sz w:val="24"/>
          <w:szCs w:val="24"/>
          <w:lang w:val="en-US"/>
        </w:rPr>
        <w:t>New York: Palgrave Macmillan</w:t>
      </w:r>
    </w:p>
    <w:p w14:paraId="08197E46" w14:textId="6EF6D8FC" w:rsidR="00F405BC" w:rsidRPr="00F26EF7" w:rsidRDefault="00D4646A">
      <w:pPr>
        <w:rPr>
          <w:sz w:val="24"/>
          <w:szCs w:val="24"/>
          <w:lang w:val="en-US"/>
        </w:rPr>
      </w:pPr>
      <w:r w:rsidRPr="00F26EF7">
        <w:rPr>
          <w:sz w:val="24"/>
          <w:szCs w:val="24"/>
          <w:lang w:val="en-US"/>
        </w:rPr>
        <w:t xml:space="preserve">de Bromhead, Alan, Barry Eichengreen, </w:t>
      </w:r>
      <w:r w:rsidR="0009367F">
        <w:rPr>
          <w:sz w:val="24"/>
          <w:szCs w:val="24"/>
          <w:lang w:val="en-US"/>
        </w:rPr>
        <w:t xml:space="preserve">and </w:t>
      </w:r>
      <w:r w:rsidRPr="00F26EF7">
        <w:rPr>
          <w:sz w:val="24"/>
          <w:szCs w:val="24"/>
          <w:lang w:val="en-US"/>
        </w:rPr>
        <w:t>Kevin H. O</w:t>
      </w:r>
      <w:r w:rsidR="0009367F">
        <w:rPr>
          <w:sz w:val="24"/>
          <w:szCs w:val="24"/>
          <w:lang w:val="en-US"/>
        </w:rPr>
        <w:t xml:space="preserve">´Rourke. 2013. Right-Wing </w:t>
      </w:r>
      <w:r w:rsidRPr="00F26EF7">
        <w:rPr>
          <w:sz w:val="24"/>
          <w:szCs w:val="24"/>
          <w:lang w:val="en-US"/>
        </w:rPr>
        <w:t xml:space="preserve">Political Extremism in the Great Depression. </w:t>
      </w:r>
      <w:r w:rsidRPr="00F26EF7">
        <w:rPr>
          <w:i/>
          <w:sz w:val="24"/>
          <w:szCs w:val="24"/>
          <w:lang w:val="en-US"/>
        </w:rPr>
        <w:t xml:space="preserve">Journal of Economic History </w:t>
      </w:r>
      <w:r w:rsidRPr="00F26EF7">
        <w:rPr>
          <w:sz w:val="24"/>
          <w:szCs w:val="24"/>
          <w:lang w:val="en-US"/>
        </w:rPr>
        <w:t>73(2):  371-406</w:t>
      </w:r>
    </w:p>
    <w:p w14:paraId="550DF1F6" w14:textId="49D15BF6" w:rsidR="00F405BC" w:rsidRPr="00F26EF7" w:rsidRDefault="00D4646A">
      <w:pPr>
        <w:rPr>
          <w:sz w:val="24"/>
          <w:szCs w:val="24"/>
          <w:lang w:val="en-US"/>
        </w:rPr>
      </w:pPr>
      <w:r w:rsidRPr="00F26EF7">
        <w:rPr>
          <w:sz w:val="24"/>
          <w:szCs w:val="24"/>
          <w:lang w:val="en-US"/>
        </w:rPr>
        <w:t>DeNardo, James. 1985.</w:t>
      </w:r>
      <w:r w:rsidRPr="00F26EF7">
        <w:rPr>
          <w:i/>
          <w:sz w:val="24"/>
          <w:szCs w:val="24"/>
          <w:lang w:val="en-US"/>
        </w:rPr>
        <w:t xml:space="preserve"> Power in Numbers: The Strategy of Protest and Rebellion</w:t>
      </w:r>
      <w:r w:rsidRPr="00F26EF7">
        <w:rPr>
          <w:sz w:val="24"/>
          <w:szCs w:val="24"/>
          <w:lang w:val="en-US"/>
        </w:rPr>
        <w:t>. Princeton,</w:t>
      </w:r>
      <w:r w:rsidR="00D1750E">
        <w:rPr>
          <w:sz w:val="24"/>
          <w:szCs w:val="24"/>
          <w:lang w:val="en-US"/>
        </w:rPr>
        <w:t xml:space="preserve"> </w:t>
      </w:r>
      <w:r w:rsidRPr="00F26EF7">
        <w:rPr>
          <w:sz w:val="24"/>
          <w:szCs w:val="24"/>
          <w:lang w:val="en-US"/>
        </w:rPr>
        <w:t>NJ: Princeton University Press.</w:t>
      </w:r>
    </w:p>
    <w:p w14:paraId="13083C7E" w14:textId="77777777" w:rsidR="00F405BC" w:rsidRPr="00F26EF7" w:rsidRDefault="00D4646A">
      <w:pPr>
        <w:rPr>
          <w:sz w:val="24"/>
          <w:szCs w:val="24"/>
          <w:lang w:val="en-US"/>
        </w:rPr>
      </w:pPr>
      <w:r w:rsidRPr="006D6844">
        <w:rPr>
          <w:sz w:val="24"/>
          <w:szCs w:val="24"/>
          <w:lang w:val="en-US"/>
        </w:rPr>
        <w:t xml:space="preserve">Dorsch, Michael, Karl Dunz, and Paul Maarek. </w:t>
      </w:r>
      <w:r w:rsidRPr="00F26EF7">
        <w:rPr>
          <w:sz w:val="24"/>
          <w:szCs w:val="24"/>
          <w:lang w:val="en-US"/>
        </w:rPr>
        <w:t xml:space="preserve">2015. Macro Shocks and Costly Political Action in Non-Democracies. </w:t>
      </w:r>
      <w:r w:rsidRPr="00F26EF7">
        <w:rPr>
          <w:i/>
          <w:sz w:val="24"/>
          <w:szCs w:val="24"/>
          <w:lang w:val="en-US"/>
        </w:rPr>
        <w:t>Public Choice</w:t>
      </w:r>
      <w:r w:rsidRPr="00F26EF7">
        <w:rPr>
          <w:sz w:val="24"/>
          <w:szCs w:val="24"/>
          <w:lang w:val="en-US"/>
        </w:rPr>
        <w:t xml:space="preserve"> 162:381-404.</w:t>
      </w:r>
    </w:p>
    <w:p w14:paraId="3E05643F" w14:textId="735A0AB0" w:rsidR="00F405BC" w:rsidRPr="00F26EF7" w:rsidRDefault="00D4646A">
      <w:pPr>
        <w:rPr>
          <w:sz w:val="24"/>
          <w:szCs w:val="24"/>
          <w:lang w:val="en-US"/>
        </w:rPr>
      </w:pPr>
      <w:r w:rsidRPr="006D6844">
        <w:rPr>
          <w:sz w:val="24"/>
          <w:szCs w:val="24"/>
          <w:lang w:val="en-US"/>
        </w:rPr>
        <w:t>Dreher, Axel and Martin</w:t>
      </w:r>
      <w:r w:rsidR="0009367F" w:rsidRPr="006D6844">
        <w:rPr>
          <w:sz w:val="24"/>
          <w:szCs w:val="24"/>
          <w:lang w:val="en-US"/>
        </w:rPr>
        <w:t xml:space="preserve"> Gassebner</w:t>
      </w:r>
      <w:r w:rsidRPr="006D6844">
        <w:rPr>
          <w:sz w:val="24"/>
          <w:szCs w:val="24"/>
          <w:lang w:val="en-US"/>
        </w:rPr>
        <w:t xml:space="preserve">. </w:t>
      </w:r>
      <w:r w:rsidRPr="00F26EF7">
        <w:rPr>
          <w:sz w:val="24"/>
          <w:szCs w:val="24"/>
          <w:lang w:val="en-US"/>
        </w:rPr>
        <w:t xml:space="preserve">2012. Do IMF and World Bank programs induce government crises? An empirical analysis. </w:t>
      </w:r>
      <w:r w:rsidRPr="00F26EF7">
        <w:rPr>
          <w:i/>
          <w:sz w:val="24"/>
          <w:szCs w:val="24"/>
          <w:lang w:val="en-US"/>
        </w:rPr>
        <w:t>International Organization</w:t>
      </w:r>
      <w:r w:rsidRPr="00F26EF7">
        <w:rPr>
          <w:sz w:val="24"/>
          <w:szCs w:val="24"/>
          <w:lang w:val="en-US"/>
        </w:rPr>
        <w:t xml:space="preserve"> 66(2): 329-358</w:t>
      </w:r>
    </w:p>
    <w:p w14:paraId="6FE3A0BF" w14:textId="77777777" w:rsidR="00F405BC" w:rsidRPr="00F26EF7" w:rsidRDefault="00D4646A">
      <w:pPr>
        <w:rPr>
          <w:sz w:val="24"/>
          <w:szCs w:val="24"/>
          <w:lang w:val="en-US"/>
        </w:rPr>
      </w:pPr>
      <w:r w:rsidRPr="00F26EF7">
        <w:rPr>
          <w:sz w:val="24"/>
          <w:szCs w:val="24"/>
          <w:lang w:val="en-US"/>
        </w:rPr>
        <w:t xml:space="preserve">Dreher, Axel, Jan-Egbert Sturm, and James Raymond Vreeland. 2015. Politics and IMF Conditionality. </w:t>
      </w:r>
      <w:r w:rsidRPr="00F26EF7">
        <w:rPr>
          <w:i/>
          <w:sz w:val="24"/>
          <w:szCs w:val="24"/>
          <w:lang w:val="en-US"/>
        </w:rPr>
        <w:t>Journal of Conflict Resolution</w:t>
      </w:r>
      <w:r w:rsidRPr="00F26EF7">
        <w:rPr>
          <w:sz w:val="24"/>
          <w:szCs w:val="24"/>
          <w:lang w:val="en-US"/>
        </w:rPr>
        <w:t xml:space="preserve"> 59 (1):120-148.</w:t>
      </w:r>
    </w:p>
    <w:p w14:paraId="0A9AB3C1" w14:textId="77777777" w:rsidR="00F405BC" w:rsidRPr="00F26EF7" w:rsidRDefault="00D4646A">
      <w:pPr>
        <w:rPr>
          <w:sz w:val="24"/>
          <w:szCs w:val="24"/>
          <w:lang w:val="en-US"/>
        </w:rPr>
      </w:pPr>
      <w:r w:rsidRPr="00F26EF7">
        <w:rPr>
          <w:sz w:val="24"/>
          <w:szCs w:val="24"/>
          <w:lang w:val="en-US"/>
        </w:rPr>
        <w:t>Easterly, William. 2005. What did structural adjustment adjust? The association of policies and growth with repeated IMF and World Bank adjustment loans.</w:t>
      </w:r>
      <w:r w:rsidRPr="00F26EF7">
        <w:rPr>
          <w:i/>
          <w:sz w:val="24"/>
          <w:szCs w:val="24"/>
          <w:lang w:val="en-US"/>
        </w:rPr>
        <w:t xml:space="preserve"> Journal of Development Economics</w:t>
      </w:r>
      <w:r w:rsidRPr="00F26EF7">
        <w:rPr>
          <w:sz w:val="24"/>
          <w:szCs w:val="24"/>
          <w:lang w:val="en-US"/>
        </w:rPr>
        <w:t xml:space="preserve"> 76(1): 1–22.</w:t>
      </w:r>
    </w:p>
    <w:p w14:paraId="6BEEAA09" w14:textId="77777777" w:rsidR="00F405BC" w:rsidRPr="00F26EF7" w:rsidRDefault="00D4646A">
      <w:pPr>
        <w:rPr>
          <w:sz w:val="24"/>
          <w:szCs w:val="24"/>
          <w:lang w:val="en-US"/>
        </w:rPr>
      </w:pPr>
      <w:r w:rsidRPr="00F26EF7">
        <w:rPr>
          <w:sz w:val="24"/>
          <w:szCs w:val="24"/>
          <w:lang w:val="en-US"/>
        </w:rPr>
        <w:t xml:space="preserve">Fiorina, Morris. 1978. Economic Retrospective Voting in American National Elections: A Micro-Analysis. </w:t>
      </w:r>
      <w:r w:rsidRPr="00F26EF7">
        <w:rPr>
          <w:i/>
          <w:sz w:val="24"/>
          <w:szCs w:val="24"/>
          <w:lang w:val="en-US"/>
        </w:rPr>
        <w:t>American Journal of Political Science</w:t>
      </w:r>
      <w:r w:rsidRPr="00F26EF7">
        <w:rPr>
          <w:sz w:val="24"/>
          <w:szCs w:val="24"/>
          <w:lang w:val="en-US"/>
        </w:rPr>
        <w:t xml:space="preserve"> 22 (2):426-44.</w:t>
      </w:r>
    </w:p>
    <w:p w14:paraId="3DFDFA94" w14:textId="79318BB0" w:rsidR="00F405BC" w:rsidRPr="00F26EF7" w:rsidRDefault="00D4646A">
      <w:pPr>
        <w:rPr>
          <w:sz w:val="24"/>
          <w:szCs w:val="24"/>
          <w:lang w:val="en-US"/>
        </w:rPr>
      </w:pPr>
      <w:r w:rsidRPr="00F26EF7">
        <w:rPr>
          <w:sz w:val="24"/>
          <w:szCs w:val="24"/>
          <w:lang w:val="en-US"/>
        </w:rPr>
        <w:t>Genovese, Federica, Gerald</w:t>
      </w:r>
      <w:r w:rsidR="0009367F" w:rsidRPr="0009367F">
        <w:rPr>
          <w:sz w:val="24"/>
          <w:szCs w:val="24"/>
          <w:lang w:val="en-US"/>
        </w:rPr>
        <w:t xml:space="preserve"> </w:t>
      </w:r>
      <w:r w:rsidR="0009367F" w:rsidRPr="00F26EF7">
        <w:rPr>
          <w:sz w:val="24"/>
          <w:szCs w:val="24"/>
          <w:lang w:val="en-US"/>
        </w:rPr>
        <w:t>Schneider,</w:t>
      </w:r>
      <w:r w:rsidR="0009367F">
        <w:rPr>
          <w:sz w:val="24"/>
          <w:szCs w:val="24"/>
          <w:lang w:val="en-US"/>
        </w:rPr>
        <w:t xml:space="preserve"> and Pia </w:t>
      </w:r>
      <w:r w:rsidRPr="00F26EF7">
        <w:rPr>
          <w:sz w:val="24"/>
          <w:szCs w:val="24"/>
          <w:lang w:val="en-US"/>
        </w:rPr>
        <w:t xml:space="preserve">Wassmann. 2016. The Eurotower strikes back: Crises, adjustments and Europe’s austerity protests. </w:t>
      </w:r>
      <w:r w:rsidRPr="00F26EF7">
        <w:rPr>
          <w:i/>
          <w:sz w:val="24"/>
          <w:szCs w:val="24"/>
          <w:lang w:val="en-US"/>
        </w:rPr>
        <w:t>Comparative Political Studies</w:t>
      </w:r>
      <w:r w:rsidRPr="00F26EF7">
        <w:rPr>
          <w:sz w:val="24"/>
          <w:szCs w:val="24"/>
          <w:lang w:val="en-US"/>
        </w:rPr>
        <w:t xml:space="preserve"> 49(7): 939-967.</w:t>
      </w:r>
    </w:p>
    <w:p w14:paraId="4B36B51F" w14:textId="68F9E1CD" w:rsidR="00D06A94" w:rsidRPr="00F26EF7" w:rsidRDefault="00D06A94" w:rsidP="00D06A94">
      <w:pPr>
        <w:rPr>
          <w:sz w:val="24"/>
          <w:szCs w:val="24"/>
          <w:lang w:val="en-US"/>
        </w:rPr>
      </w:pPr>
      <w:r w:rsidRPr="00F26EF7">
        <w:rPr>
          <w:sz w:val="24"/>
          <w:szCs w:val="24"/>
          <w:lang w:val="en-US"/>
        </w:rPr>
        <w:t xml:space="preserve">Gourinchas, Pierre-Olivier, Thomas Philippon, and Dimitri Vayanos. 2016. The Analytics of the Greek Crisis. </w:t>
      </w:r>
      <w:r w:rsidRPr="00F26EF7">
        <w:rPr>
          <w:i/>
          <w:sz w:val="24"/>
          <w:szCs w:val="24"/>
          <w:lang w:val="en-US"/>
        </w:rPr>
        <w:t>NBER Macroeconomics Annual</w:t>
      </w:r>
      <w:r w:rsidRPr="00F26EF7">
        <w:rPr>
          <w:sz w:val="24"/>
          <w:szCs w:val="24"/>
          <w:lang w:val="en-US"/>
        </w:rPr>
        <w:t xml:space="preserve"> 31 (1):1–81.</w:t>
      </w:r>
    </w:p>
    <w:p w14:paraId="73952D26" w14:textId="719050AA" w:rsidR="00835054" w:rsidRPr="00F26EF7" w:rsidRDefault="00835054" w:rsidP="00835054">
      <w:pPr>
        <w:rPr>
          <w:sz w:val="24"/>
          <w:szCs w:val="24"/>
          <w:lang w:val="en-US"/>
        </w:rPr>
      </w:pPr>
      <w:r w:rsidRPr="00F26EF7">
        <w:rPr>
          <w:sz w:val="24"/>
          <w:szCs w:val="24"/>
          <w:lang w:val="en-US"/>
        </w:rPr>
        <w:t xml:space="preserve">Gupta, Sanjeev, João T. Jalles, Carlos Mulas-Granados, and Michela Schena (2018) Planned fiscal adjustments: Do governments fulfil their commitments? </w:t>
      </w:r>
      <w:r w:rsidRPr="00F26EF7">
        <w:rPr>
          <w:i/>
          <w:sz w:val="24"/>
          <w:szCs w:val="24"/>
          <w:lang w:val="en-US"/>
        </w:rPr>
        <w:t>European Union Politics</w:t>
      </w:r>
      <w:r w:rsidRPr="00F26EF7">
        <w:rPr>
          <w:sz w:val="24"/>
          <w:szCs w:val="24"/>
          <w:lang w:val="en-US"/>
        </w:rPr>
        <w:t xml:space="preserve"> 19(3)</w:t>
      </w:r>
    </w:p>
    <w:p w14:paraId="5382DB67" w14:textId="6C44E166" w:rsidR="00F405BC" w:rsidRPr="00F26EF7" w:rsidRDefault="00C344FA">
      <w:pPr>
        <w:rPr>
          <w:sz w:val="24"/>
          <w:szCs w:val="24"/>
          <w:lang w:val="en-US"/>
        </w:rPr>
      </w:pPr>
      <w:r w:rsidRPr="00F26EF7">
        <w:rPr>
          <w:sz w:val="24"/>
          <w:szCs w:val="24"/>
          <w:lang w:val="en-US"/>
        </w:rPr>
        <w:lastRenderedPageBreak/>
        <w:t>G</w:t>
      </w:r>
      <w:r w:rsidR="00D4646A" w:rsidRPr="00F26EF7">
        <w:rPr>
          <w:sz w:val="24"/>
          <w:szCs w:val="24"/>
          <w:lang w:val="en-US"/>
        </w:rPr>
        <w:t xml:space="preserve">urr, Ted R. 1970. </w:t>
      </w:r>
      <w:r w:rsidR="00D1750E">
        <w:rPr>
          <w:i/>
          <w:sz w:val="24"/>
          <w:szCs w:val="24"/>
          <w:lang w:val="en-US"/>
        </w:rPr>
        <w:t>Why Men R</w:t>
      </w:r>
      <w:r w:rsidR="00D4646A" w:rsidRPr="00F26EF7">
        <w:rPr>
          <w:i/>
          <w:sz w:val="24"/>
          <w:szCs w:val="24"/>
          <w:lang w:val="en-US"/>
        </w:rPr>
        <w:t>ebel</w:t>
      </w:r>
      <w:r w:rsidR="00D4646A" w:rsidRPr="00F26EF7">
        <w:rPr>
          <w:sz w:val="24"/>
          <w:szCs w:val="24"/>
          <w:lang w:val="en-US"/>
        </w:rPr>
        <w:t>. Princeton</w:t>
      </w:r>
      <w:r w:rsidR="00D1750E">
        <w:rPr>
          <w:sz w:val="24"/>
          <w:szCs w:val="24"/>
          <w:lang w:val="en-US"/>
        </w:rPr>
        <w:t>, NJ</w:t>
      </w:r>
      <w:r w:rsidR="00D4646A" w:rsidRPr="00F26EF7">
        <w:rPr>
          <w:sz w:val="24"/>
          <w:szCs w:val="24"/>
          <w:lang w:val="en-US"/>
        </w:rPr>
        <w:t>: Princeton University Press.</w:t>
      </w:r>
    </w:p>
    <w:p w14:paraId="5E27DDE0" w14:textId="77777777" w:rsidR="00F405BC" w:rsidRPr="00F26EF7" w:rsidRDefault="00D4646A">
      <w:pPr>
        <w:rPr>
          <w:sz w:val="24"/>
          <w:szCs w:val="24"/>
          <w:lang w:val="en-US"/>
        </w:rPr>
      </w:pPr>
      <w:r w:rsidRPr="00F26EF7">
        <w:rPr>
          <w:sz w:val="24"/>
          <w:szCs w:val="24"/>
          <w:lang w:val="en-US"/>
        </w:rPr>
        <w:t xml:space="preserve">Gurr, Ted R. 1985. On the Political Consequences of Scarcity and Economic Decline. </w:t>
      </w:r>
      <w:r w:rsidRPr="00F26EF7">
        <w:rPr>
          <w:i/>
          <w:sz w:val="24"/>
          <w:szCs w:val="24"/>
          <w:lang w:val="en-US"/>
        </w:rPr>
        <w:t>International Studies Quarterly</w:t>
      </w:r>
      <w:r w:rsidRPr="00F26EF7">
        <w:rPr>
          <w:sz w:val="24"/>
          <w:szCs w:val="24"/>
          <w:lang w:val="en-US"/>
        </w:rPr>
        <w:t xml:space="preserve"> 29(1): 51-75.</w:t>
      </w:r>
    </w:p>
    <w:p w14:paraId="787BA7B2" w14:textId="289396E3" w:rsidR="00C344FA" w:rsidRPr="00F26EF7" w:rsidRDefault="00C344FA" w:rsidP="00C344FA">
      <w:pPr>
        <w:rPr>
          <w:sz w:val="24"/>
          <w:szCs w:val="24"/>
          <w:lang w:val="en-US"/>
        </w:rPr>
      </w:pPr>
      <w:r w:rsidRPr="00F26EF7">
        <w:rPr>
          <w:sz w:val="24"/>
          <w:szCs w:val="24"/>
          <w:lang w:val="en-US"/>
        </w:rPr>
        <w:t xml:space="preserve">Güven, Ali Burak. 2012. The IMF, the World Bank, and the Global Economic Crisis: Exploring Paradigm Continuity. </w:t>
      </w:r>
      <w:r w:rsidRPr="00F26EF7">
        <w:rPr>
          <w:i/>
          <w:sz w:val="24"/>
          <w:szCs w:val="24"/>
          <w:lang w:val="en-US"/>
        </w:rPr>
        <w:t xml:space="preserve">Development and Change </w:t>
      </w:r>
      <w:r w:rsidRPr="00F26EF7">
        <w:rPr>
          <w:sz w:val="24"/>
          <w:szCs w:val="24"/>
          <w:lang w:val="en-US"/>
        </w:rPr>
        <w:t>43(4): 86998.</w:t>
      </w:r>
    </w:p>
    <w:p w14:paraId="3A77C3F3" w14:textId="77777777" w:rsidR="00F405BC" w:rsidRPr="00F26EF7" w:rsidRDefault="00D4646A">
      <w:pPr>
        <w:rPr>
          <w:sz w:val="24"/>
          <w:szCs w:val="24"/>
          <w:lang w:val="en-US"/>
        </w:rPr>
      </w:pPr>
      <w:r w:rsidRPr="00F26EF7">
        <w:rPr>
          <w:sz w:val="24"/>
          <w:szCs w:val="24"/>
          <w:lang w:val="en-US"/>
        </w:rPr>
        <w:t xml:space="preserve">Hartzell, Caroline A. and Matthew Hoddie, with Molly Bauer. 2010. Economic Liberalization via IMF Structural Adjustment: Sowing the Seeds of Civil War? </w:t>
      </w:r>
      <w:r w:rsidRPr="00F26EF7">
        <w:rPr>
          <w:i/>
          <w:sz w:val="24"/>
          <w:szCs w:val="24"/>
          <w:lang w:val="en-US"/>
        </w:rPr>
        <w:t>International Organization</w:t>
      </w:r>
      <w:r w:rsidRPr="00F26EF7">
        <w:rPr>
          <w:sz w:val="24"/>
          <w:szCs w:val="24"/>
          <w:lang w:val="en-US"/>
        </w:rPr>
        <w:t xml:space="preserve"> 64(2): 339-56.</w:t>
      </w:r>
    </w:p>
    <w:p w14:paraId="1FA5187F" w14:textId="77777777" w:rsidR="00F405BC" w:rsidRPr="00F26EF7" w:rsidRDefault="00D4646A">
      <w:pPr>
        <w:rPr>
          <w:sz w:val="24"/>
          <w:szCs w:val="24"/>
          <w:lang w:val="en-US"/>
        </w:rPr>
      </w:pPr>
      <w:r w:rsidRPr="00F26EF7">
        <w:rPr>
          <w:sz w:val="24"/>
          <w:szCs w:val="24"/>
          <w:lang w:val="en-US"/>
        </w:rPr>
        <w:t xml:space="preserve">Hibbing, John R. 1981. On the Issues Surrounding Economic Voting:  Looking to the British Case for Answers. </w:t>
      </w:r>
      <w:r w:rsidRPr="00F26EF7">
        <w:rPr>
          <w:i/>
          <w:sz w:val="24"/>
          <w:szCs w:val="24"/>
          <w:lang w:val="en-US"/>
        </w:rPr>
        <w:t>Comparative Political Studies</w:t>
      </w:r>
      <w:r w:rsidRPr="00F26EF7">
        <w:rPr>
          <w:sz w:val="24"/>
          <w:szCs w:val="24"/>
          <w:lang w:val="en-US"/>
        </w:rPr>
        <w:t xml:space="preserve"> 20 (1):3-33.</w:t>
      </w:r>
    </w:p>
    <w:p w14:paraId="1BA98419" w14:textId="7B5398EC" w:rsidR="00F405BC" w:rsidRPr="00F26EF7" w:rsidRDefault="00D4646A">
      <w:pPr>
        <w:rPr>
          <w:sz w:val="24"/>
          <w:szCs w:val="24"/>
          <w:lang w:val="en-US"/>
        </w:rPr>
      </w:pPr>
      <w:r w:rsidRPr="00F26EF7">
        <w:rPr>
          <w:sz w:val="24"/>
          <w:szCs w:val="24"/>
          <w:lang w:val="en-US"/>
        </w:rPr>
        <w:t xml:space="preserve">Hutchison, Michael M. 2003. </w:t>
      </w:r>
      <w:r w:rsidR="000C381F">
        <w:rPr>
          <w:sz w:val="24"/>
          <w:szCs w:val="24"/>
          <w:lang w:val="en-US"/>
        </w:rPr>
        <w:t>A cure worse than the disease? C</w:t>
      </w:r>
      <w:r w:rsidRPr="00F26EF7">
        <w:rPr>
          <w:sz w:val="24"/>
          <w:szCs w:val="24"/>
          <w:lang w:val="en-US"/>
        </w:rPr>
        <w:t>urrency crises and the output costs of IMF-supported stabilization programs. In M. P</w:t>
      </w:r>
      <w:r w:rsidR="000C381F">
        <w:rPr>
          <w:sz w:val="24"/>
          <w:szCs w:val="24"/>
          <w:lang w:val="en-US"/>
        </w:rPr>
        <w:t>. Dooley &amp; J. A. Frankel (Eds.)</w:t>
      </w:r>
      <w:r w:rsidRPr="00F26EF7">
        <w:rPr>
          <w:sz w:val="24"/>
          <w:szCs w:val="24"/>
          <w:lang w:val="en-US"/>
        </w:rPr>
        <w:t xml:space="preserve"> </w:t>
      </w:r>
      <w:r w:rsidRPr="000C381F">
        <w:rPr>
          <w:i/>
          <w:sz w:val="24"/>
          <w:szCs w:val="24"/>
          <w:lang w:val="en-US"/>
        </w:rPr>
        <w:t>Managing currency crises in emerging markets</w:t>
      </w:r>
      <w:r w:rsidRPr="00F26EF7">
        <w:rPr>
          <w:sz w:val="24"/>
          <w:szCs w:val="24"/>
          <w:lang w:val="en-US"/>
        </w:rPr>
        <w:t xml:space="preserve"> (pp. 321–60). Chicago: University of Chicago Press.</w:t>
      </w:r>
    </w:p>
    <w:p w14:paraId="255DFF36" w14:textId="6DF1AFFE" w:rsidR="009A420A" w:rsidRPr="00F26EF7" w:rsidRDefault="009A420A">
      <w:pPr>
        <w:rPr>
          <w:sz w:val="24"/>
          <w:szCs w:val="24"/>
          <w:lang w:val="en-US"/>
        </w:rPr>
      </w:pPr>
      <w:r w:rsidRPr="00F26EF7">
        <w:rPr>
          <w:sz w:val="24"/>
          <w:szCs w:val="24"/>
          <w:lang w:val="en-US"/>
        </w:rPr>
        <w:t>International Monetary Fund 2017. Greece - 2016 Article IV Consultation. IMF Country Report, 17/40.</w:t>
      </w:r>
    </w:p>
    <w:p w14:paraId="513D8341" w14:textId="0AC67C21" w:rsidR="00F405BC" w:rsidRPr="00F26EF7" w:rsidRDefault="00D4646A">
      <w:pPr>
        <w:rPr>
          <w:sz w:val="24"/>
          <w:szCs w:val="24"/>
          <w:lang w:val="en-US"/>
        </w:rPr>
      </w:pPr>
      <w:r w:rsidRPr="00F26EF7">
        <w:rPr>
          <w:sz w:val="24"/>
          <w:szCs w:val="24"/>
          <w:lang w:val="en-US"/>
        </w:rPr>
        <w:t>Jordà, Oscar and Alan M</w:t>
      </w:r>
      <w:r w:rsidR="00530467">
        <w:rPr>
          <w:sz w:val="24"/>
          <w:szCs w:val="24"/>
          <w:lang w:val="en-US"/>
        </w:rPr>
        <w:t>. Taylor</w:t>
      </w:r>
      <w:r w:rsidRPr="00F26EF7">
        <w:rPr>
          <w:sz w:val="24"/>
          <w:szCs w:val="24"/>
          <w:lang w:val="en-US"/>
        </w:rPr>
        <w:t xml:space="preserve">. 2016. The time for austerity: estimating the average treatment effect of fiscal policy. </w:t>
      </w:r>
      <w:r w:rsidRPr="00F26EF7">
        <w:rPr>
          <w:i/>
          <w:sz w:val="24"/>
          <w:szCs w:val="24"/>
          <w:lang w:val="en-US"/>
        </w:rPr>
        <w:t>Economic Journal</w:t>
      </w:r>
      <w:r w:rsidRPr="00F26EF7">
        <w:rPr>
          <w:sz w:val="24"/>
          <w:szCs w:val="24"/>
          <w:lang w:val="en-US"/>
        </w:rPr>
        <w:t xml:space="preserve"> 126 (590): 219–255.</w:t>
      </w:r>
    </w:p>
    <w:p w14:paraId="3FE13C17" w14:textId="27715598" w:rsidR="00F405BC" w:rsidRPr="00F26EF7" w:rsidRDefault="00D4646A">
      <w:pPr>
        <w:rPr>
          <w:sz w:val="24"/>
          <w:szCs w:val="24"/>
          <w:lang w:val="en-US"/>
        </w:rPr>
      </w:pPr>
      <w:r w:rsidRPr="00F26EF7">
        <w:rPr>
          <w:sz w:val="24"/>
          <w:szCs w:val="24"/>
          <w:lang w:val="en-US"/>
        </w:rPr>
        <w:t>Kentikelenis, Alexander E., Thomas H.</w:t>
      </w:r>
      <w:r w:rsidR="00530467">
        <w:rPr>
          <w:sz w:val="24"/>
          <w:szCs w:val="24"/>
          <w:lang w:val="en-US"/>
        </w:rPr>
        <w:t xml:space="preserve"> </w:t>
      </w:r>
      <w:r w:rsidR="00530467" w:rsidRPr="00F26EF7">
        <w:rPr>
          <w:sz w:val="24"/>
          <w:szCs w:val="24"/>
          <w:lang w:val="en-US"/>
        </w:rPr>
        <w:t>St</w:t>
      </w:r>
      <w:r w:rsidR="00530467">
        <w:rPr>
          <w:sz w:val="24"/>
          <w:szCs w:val="24"/>
          <w:lang w:val="en-US"/>
        </w:rPr>
        <w:t>ubbs</w:t>
      </w:r>
      <w:r w:rsidRPr="00F26EF7">
        <w:rPr>
          <w:sz w:val="24"/>
          <w:szCs w:val="24"/>
          <w:lang w:val="en-US"/>
        </w:rPr>
        <w:t xml:space="preserve">, and Lawrence P. </w:t>
      </w:r>
      <w:r w:rsidR="00530467">
        <w:rPr>
          <w:sz w:val="24"/>
          <w:szCs w:val="24"/>
          <w:lang w:val="en-US"/>
        </w:rPr>
        <w:t>King.</w:t>
      </w:r>
      <w:r w:rsidR="00530467" w:rsidRPr="00F26EF7">
        <w:rPr>
          <w:sz w:val="24"/>
          <w:szCs w:val="24"/>
          <w:lang w:val="en-US"/>
        </w:rPr>
        <w:t xml:space="preserve"> </w:t>
      </w:r>
      <w:r w:rsidRPr="00F26EF7">
        <w:rPr>
          <w:sz w:val="24"/>
          <w:szCs w:val="24"/>
          <w:lang w:val="en-US"/>
        </w:rPr>
        <w:t xml:space="preserve">2016. IMF conditionality and development policy space, 1985–2014. </w:t>
      </w:r>
      <w:r w:rsidRPr="00F26EF7">
        <w:rPr>
          <w:i/>
          <w:sz w:val="24"/>
          <w:szCs w:val="24"/>
          <w:lang w:val="en-US"/>
        </w:rPr>
        <w:t xml:space="preserve">Review of International Political Economy </w:t>
      </w:r>
      <w:r w:rsidRPr="00F26EF7">
        <w:rPr>
          <w:sz w:val="24"/>
          <w:szCs w:val="24"/>
          <w:lang w:val="en-US"/>
        </w:rPr>
        <w:t>23(4): 543-582</w:t>
      </w:r>
    </w:p>
    <w:p w14:paraId="431A278F" w14:textId="1B9ECD7B" w:rsidR="00616D86" w:rsidRPr="00F26EF7" w:rsidRDefault="00616D86">
      <w:pPr>
        <w:rPr>
          <w:sz w:val="24"/>
          <w:szCs w:val="24"/>
          <w:lang w:val="en-US"/>
        </w:rPr>
      </w:pPr>
      <w:r w:rsidRPr="00F26EF7">
        <w:rPr>
          <w:sz w:val="24"/>
          <w:szCs w:val="24"/>
          <w:lang w:val="en-US"/>
        </w:rPr>
        <w:t xml:space="preserve">Klein, Naomi. 2007. </w:t>
      </w:r>
      <w:r w:rsidR="009F1D4C">
        <w:rPr>
          <w:i/>
          <w:sz w:val="24"/>
          <w:szCs w:val="24"/>
          <w:lang w:val="en-US"/>
        </w:rPr>
        <w:t>The Shock Doctrine: The R</w:t>
      </w:r>
      <w:r w:rsidRPr="00F26EF7">
        <w:rPr>
          <w:i/>
          <w:sz w:val="24"/>
          <w:szCs w:val="24"/>
          <w:lang w:val="en-US"/>
        </w:rPr>
        <w:t>ise of Disaster Capitalism</w:t>
      </w:r>
      <w:r w:rsidR="00576A64">
        <w:rPr>
          <w:sz w:val="24"/>
          <w:szCs w:val="24"/>
          <w:lang w:val="en-US"/>
        </w:rPr>
        <w:t>. New York</w:t>
      </w:r>
      <w:r w:rsidRPr="00F26EF7">
        <w:rPr>
          <w:sz w:val="24"/>
          <w:szCs w:val="24"/>
          <w:lang w:val="en-US"/>
        </w:rPr>
        <w:t>: Metropolitan Books.</w:t>
      </w:r>
    </w:p>
    <w:p w14:paraId="3ECB1247" w14:textId="77777777" w:rsidR="00F405BC" w:rsidRPr="00F26EF7" w:rsidRDefault="00D4646A">
      <w:pPr>
        <w:rPr>
          <w:sz w:val="24"/>
          <w:szCs w:val="24"/>
          <w:lang w:val="en-US"/>
        </w:rPr>
      </w:pPr>
      <w:r w:rsidRPr="00F26EF7">
        <w:rPr>
          <w:sz w:val="24"/>
          <w:szCs w:val="24"/>
          <w:lang w:val="en-US"/>
        </w:rPr>
        <w:t xml:space="preserve">Knight, Malcom, and Julio A. Santaella. 1997. Economic determinants of IMF financial arrangements. </w:t>
      </w:r>
      <w:r w:rsidRPr="00F26EF7">
        <w:rPr>
          <w:i/>
          <w:sz w:val="24"/>
          <w:szCs w:val="24"/>
          <w:lang w:val="en-US"/>
        </w:rPr>
        <w:t>Journal of Development Economics</w:t>
      </w:r>
      <w:r w:rsidRPr="00F26EF7">
        <w:rPr>
          <w:sz w:val="24"/>
          <w:szCs w:val="24"/>
          <w:lang w:val="en-US"/>
        </w:rPr>
        <w:t xml:space="preserve"> 54 (2):405-436.</w:t>
      </w:r>
    </w:p>
    <w:p w14:paraId="0F88F20E" w14:textId="7A41826B" w:rsidR="00F405BC" w:rsidRPr="00F26EF7" w:rsidRDefault="00D4646A">
      <w:pPr>
        <w:rPr>
          <w:sz w:val="24"/>
          <w:szCs w:val="24"/>
          <w:lang w:val="en-US"/>
        </w:rPr>
      </w:pPr>
      <w:r w:rsidRPr="00F26EF7">
        <w:rPr>
          <w:sz w:val="24"/>
          <w:szCs w:val="24"/>
          <w:lang w:val="en-US"/>
        </w:rPr>
        <w:t xml:space="preserve">Laeven, Luc and Fabián </w:t>
      </w:r>
      <w:r w:rsidR="00576A64">
        <w:rPr>
          <w:sz w:val="24"/>
          <w:szCs w:val="24"/>
          <w:lang w:val="en-US"/>
        </w:rPr>
        <w:t>Valencia.</w:t>
      </w:r>
      <w:r w:rsidR="00576A64" w:rsidRPr="00F26EF7">
        <w:rPr>
          <w:sz w:val="24"/>
          <w:szCs w:val="24"/>
          <w:lang w:val="en-US"/>
        </w:rPr>
        <w:t xml:space="preserve"> </w:t>
      </w:r>
      <w:r w:rsidRPr="00F26EF7">
        <w:rPr>
          <w:sz w:val="24"/>
          <w:szCs w:val="24"/>
          <w:lang w:val="en-US"/>
        </w:rPr>
        <w:t>2012. Systemic Banking Crises: An Update. IMF Working Paper 12/163.</w:t>
      </w:r>
    </w:p>
    <w:p w14:paraId="13BAC8C6" w14:textId="4068B0C2" w:rsidR="00F405BC" w:rsidRPr="00F26EF7" w:rsidRDefault="00D4646A">
      <w:pPr>
        <w:rPr>
          <w:sz w:val="24"/>
          <w:szCs w:val="24"/>
          <w:lang w:val="en-US"/>
        </w:rPr>
      </w:pPr>
      <w:r w:rsidRPr="00F26EF7">
        <w:rPr>
          <w:sz w:val="24"/>
          <w:szCs w:val="24"/>
          <w:lang w:val="en-US"/>
        </w:rPr>
        <w:lastRenderedPageBreak/>
        <w:t xml:space="preserve">Laeven, Luc and Fabián </w:t>
      </w:r>
      <w:r w:rsidR="00576A64">
        <w:rPr>
          <w:sz w:val="24"/>
          <w:szCs w:val="24"/>
          <w:lang w:val="en-US"/>
        </w:rPr>
        <w:t xml:space="preserve">Valencia. </w:t>
      </w:r>
      <w:r w:rsidRPr="00F26EF7">
        <w:rPr>
          <w:sz w:val="24"/>
          <w:szCs w:val="24"/>
          <w:lang w:val="en-US"/>
        </w:rPr>
        <w:t xml:space="preserve">2013. Systemic banking crises database. </w:t>
      </w:r>
      <w:r w:rsidRPr="00F26EF7">
        <w:rPr>
          <w:i/>
          <w:sz w:val="24"/>
          <w:szCs w:val="24"/>
          <w:lang w:val="en-US"/>
        </w:rPr>
        <w:t xml:space="preserve">IMF Economic Review </w:t>
      </w:r>
      <w:r w:rsidRPr="00F26EF7">
        <w:rPr>
          <w:sz w:val="24"/>
          <w:szCs w:val="24"/>
          <w:lang w:val="en-US"/>
        </w:rPr>
        <w:t>61(2): 225–27.</w:t>
      </w:r>
    </w:p>
    <w:p w14:paraId="364A3514" w14:textId="5C637044" w:rsidR="00E776BA" w:rsidRPr="00F26EF7" w:rsidRDefault="00E776BA">
      <w:pPr>
        <w:rPr>
          <w:sz w:val="24"/>
          <w:szCs w:val="24"/>
          <w:lang w:val="en-US"/>
        </w:rPr>
      </w:pPr>
      <w:r w:rsidRPr="00F26EF7">
        <w:rPr>
          <w:sz w:val="24"/>
          <w:szCs w:val="24"/>
          <w:lang w:val="en-US"/>
        </w:rPr>
        <w:t xml:space="preserve">Malik Adeel and Bassem </w:t>
      </w:r>
      <w:r w:rsidR="00576A64">
        <w:rPr>
          <w:sz w:val="24"/>
          <w:szCs w:val="24"/>
          <w:lang w:val="en-US"/>
        </w:rPr>
        <w:t xml:space="preserve">Awadallah. </w:t>
      </w:r>
      <w:r w:rsidRPr="00F26EF7">
        <w:rPr>
          <w:sz w:val="24"/>
          <w:szCs w:val="24"/>
          <w:lang w:val="en-US"/>
        </w:rPr>
        <w:t xml:space="preserve">2013. The economics of the Arab Spring. </w:t>
      </w:r>
      <w:r w:rsidRPr="00F26EF7">
        <w:rPr>
          <w:i/>
          <w:sz w:val="24"/>
          <w:szCs w:val="24"/>
          <w:lang w:val="en-US"/>
        </w:rPr>
        <w:t>World Development</w:t>
      </w:r>
      <w:r w:rsidRPr="00F26EF7">
        <w:rPr>
          <w:sz w:val="24"/>
          <w:szCs w:val="24"/>
          <w:lang w:val="en-US"/>
        </w:rPr>
        <w:t xml:space="preserve"> </w:t>
      </w:r>
      <w:r w:rsidRPr="00F26EF7">
        <w:rPr>
          <w:i/>
          <w:sz w:val="24"/>
          <w:szCs w:val="24"/>
          <w:lang w:val="en-US"/>
        </w:rPr>
        <w:t>45</w:t>
      </w:r>
      <w:r w:rsidRPr="00F26EF7">
        <w:rPr>
          <w:sz w:val="24"/>
          <w:szCs w:val="24"/>
          <w:lang w:val="en-US"/>
        </w:rPr>
        <w:t>: 296-313.</w:t>
      </w:r>
    </w:p>
    <w:p w14:paraId="7FB5048E" w14:textId="77777777" w:rsidR="00F405BC" w:rsidRPr="00F26EF7" w:rsidRDefault="00D4646A">
      <w:pPr>
        <w:rPr>
          <w:sz w:val="24"/>
          <w:szCs w:val="24"/>
          <w:lang w:val="en-US"/>
        </w:rPr>
      </w:pPr>
      <w:r w:rsidRPr="00F26EF7">
        <w:rPr>
          <w:sz w:val="24"/>
          <w:szCs w:val="24"/>
          <w:lang w:val="en-US"/>
        </w:rPr>
        <w:t xml:space="preserve">Magee, Christopher S. P. and Tansa George Massoud. 2011. Openness and Internal Conflict. </w:t>
      </w:r>
      <w:r w:rsidRPr="00F26EF7">
        <w:rPr>
          <w:i/>
          <w:sz w:val="24"/>
          <w:szCs w:val="24"/>
          <w:lang w:val="en-US"/>
        </w:rPr>
        <w:t>Journal of Peace Research</w:t>
      </w:r>
      <w:r w:rsidRPr="00F26EF7">
        <w:rPr>
          <w:sz w:val="24"/>
          <w:szCs w:val="24"/>
          <w:lang w:val="en-US"/>
        </w:rPr>
        <w:t xml:space="preserve"> 48 (1): 1 59-72.</w:t>
      </w:r>
    </w:p>
    <w:p w14:paraId="5E7CB75E" w14:textId="77777777" w:rsidR="00F405BC" w:rsidRPr="00F26EF7" w:rsidRDefault="00D4646A">
      <w:pPr>
        <w:rPr>
          <w:sz w:val="24"/>
          <w:szCs w:val="24"/>
          <w:lang w:val="en-US"/>
        </w:rPr>
      </w:pPr>
      <w:r w:rsidRPr="00F26EF7">
        <w:rPr>
          <w:sz w:val="24"/>
          <w:szCs w:val="24"/>
          <w:lang w:val="en-US"/>
        </w:rPr>
        <w:t>Morrison, Christian. 1996. The Political Feasibility of Adjustment. Policy Brief No.13, OECD.</w:t>
      </w:r>
    </w:p>
    <w:p w14:paraId="71936DAF" w14:textId="78E824C4" w:rsidR="00F405BC" w:rsidRPr="00F26EF7" w:rsidRDefault="00D4646A">
      <w:pPr>
        <w:rPr>
          <w:sz w:val="24"/>
          <w:szCs w:val="24"/>
          <w:lang w:val="en-US"/>
        </w:rPr>
      </w:pPr>
      <w:r w:rsidRPr="00F26EF7">
        <w:rPr>
          <w:sz w:val="24"/>
          <w:szCs w:val="24"/>
          <w:lang w:val="en-US"/>
        </w:rPr>
        <w:t>Midtgård, Trude Mariane, Krishna V</w:t>
      </w:r>
      <w:r w:rsidR="00FA7AD3">
        <w:rPr>
          <w:sz w:val="24"/>
          <w:szCs w:val="24"/>
          <w:lang w:val="en-US"/>
        </w:rPr>
        <w:t xml:space="preserve">adlamannati and Indra de Soysa. </w:t>
      </w:r>
      <w:r w:rsidRPr="00F26EF7">
        <w:rPr>
          <w:sz w:val="24"/>
          <w:szCs w:val="24"/>
          <w:lang w:val="en-US"/>
        </w:rPr>
        <w:t>20</w:t>
      </w:r>
      <w:r w:rsidR="00FA7AD3">
        <w:rPr>
          <w:sz w:val="24"/>
          <w:szCs w:val="24"/>
          <w:lang w:val="en-US"/>
        </w:rPr>
        <w:t>14.</w:t>
      </w:r>
      <w:r w:rsidRPr="00F26EF7">
        <w:rPr>
          <w:sz w:val="24"/>
          <w:szCs w:val="24"/>
          <w:lang w:val="en-US"/>
        </w:rPr>
        <w:t xml:space="preserve"> Does the IMF cause civil war? A comment. </w:t>
      </w:r>
      <w:r w:rsidRPr="00F26EF7">
        <w:rPr>
          <w:i/>
          <w:sz w:val="24"/>
          <w:szCs w:val="24"/>
          <w:lang w:val="en-US"/>
        </w:rPr>
        <w:t>Review of International Organizations</w:t>
      </w:r>
      <w:r w:rsidRPr="00F26EF7">
        <w:rPr>
          <w:sz w:val="24"/>
          <w:szCs w:val="24"/>
          <w:lang w:val="en-US"/>
        </w:rPr>
        <w:t xml:space="preserve"> 9(1): 107–124.</w:t>
      </w:r>
    </w:p>
    <w:p w14:paraId="3FE3B8ED" w14:textId="77777777" w:rsidR="00F405BC" w:rsidRPr="00F26EF7" w:rsidRDefault="00D4646A">
      <w:pPr>
        <w:rPr>
          <w:sz w:val="24"/>
          <w:szCs w:val="24"/>
          <w:lang w:val="en-US"/>
        </w:rPr>
      </w:pPr>
      <w:r w:rsidRPr="00F26EF7">
        <w:rPr>
          <w:sz w:val="24"/>
          <w:szCs w:val="24"/>
          <w:lang w:val="en-US"/>
        </w:rPr>
        <w:t>Martin,</w:t>
      </w:r>
      <w:r w:rsidRPr="00F26EF7">
        <w:rPr>
          <w:lang w:val="en-US"/>
        </w:rPr>
        <w:t xml:space="preserve"> </w:t>
      </w:r>
      <w:r w:rsidRPr="00F26EF7">
        <w:rPr>
          <w:sz w:val="24"/>
          <w:szCs w:val="24"/>
          <w:lang w:val="en-US"/>
        </w:rPr>
        <w:t xml:space="preserve">Isaac William and Nadav Gabay. 2013. Fiscal protest in thirteen welfare states. </w:t>
      </w:r>
      <w:r w:rsidRPr="00F26EF7">
        <w:rPr>
          <w:i/>
          <w:sz w:val="24"/>
          <w:szCs w:val="24"/>
          <w:lang w:val="en-US"/>
        </w:rPr>
        <w:t>Socioeconomic Review</w:t>
      </w:r>
      <w:r w:rsidRPr="00F26EF7">
        <w:rPr>
          <w:sz w:val="24"/>
          <w:szCs w:val="24"/>
          <w:lang w:val="en-US"/>
        </w:rPr>
        <w:t xml:space="preserve"> 11 (1): 107-130.</w:t>
      </w:r>
    </w:p>
    <w:p w14:paraId="1E3A3ABC" w14:textId="421C0460" w:rsidR="00F405BC" w:rsidRPr="00F26EF7" w:rsidRDefault="00D4646A">
      <w:pPr>
        <w:rPr>
          <w:sz w:val="24"/>
          <w:szCs w:val="24"/>
          <w:lang w:val="en-US"/>
        </w:rPr>
      </w:pPr>
      <w:r w:rsidRPr="006D6844">
        <w:rPr>
          <w:sz w:val="24"/>
          <w:szCs w:val="24"/>
          <w:lang w:val="en-US"/>
        </w:rPr>
        <w:t xml:space="preserve">Marx, Karl and Friedrich Engels. </w:t>
      </w:r>
      <w:r w:rsidRPr="00F26EF7">
        <w:rPr>
          <w:sz w:val="24"/>
          <w:szCs w:val="24"/>
          <w:lang w:val="en-US"/>
        </w:rPr>
        <w:t>1848.</w:t>
      </w:r>
      <w:r w:rsidR="00A4503C" w:rsidRPr="00113527">
        <w:rPr>
          <w:lang w:val="en-US"/>
        </w:rPr>
        <w:t xml:space="preserve"> </w:t>
      </w:r>
      <w:r w:rsidR="00A4503C" w:rsidRPr="00A4503C">
        <w:rPr>
          <w:i/>
          <w:sz w:val="24"/>
          <w:szCs w:val="24"/>
          <w:lang w:val="en-US"/>
        </w:rPr>
        <w:t>Manifesto of the Communist Party</w:t>
      </w:r>
      <w:r w:rsidRPr="00F26EF7">
        <w:rPr>
          <w:sz w:val="24"/>
          <w:szCs w:val="24"/>
          <w:lang w:val="en-US"/>
        </w:rPr>
        <w:t xml:space="preserve">. </w:t>
      </w:r>
      <w:r w:rsidR="00A4503C">
        <w:rPr>
          <w:sz w:val="24"/>
          <w:szCs w:val="24"/>
          <w:lang w:val="en-US"/>
        </w:rPr>
        <w:t xml:space="preserve">Available at </w:t>
      </w:r>
      <w:r w:rsidR="00A4503C" w:rsidRPr="00A4503C">
        <w:rPr>
          <w:sz w:val="24"/>
          <w:szCs w:val="24"/>
          <w:lang w:val="en-US"/>
        </w:rPr>
        <w:t>https://www.marxists.org/archive/marx/works/download/pdf/Manifesto.pdf</w:t>
      </w:r>
    </w:p>
    <w:p w14:paraId="3AEC0195" w14:textId="77777777" w:rsidR="00F405BC" w:rsidRPr="00F26EF7" w:rsidRDefault="00D4646A">
      <w:pPr>
        <w:rPr>
          <w:sz w:val="24"/>
          <w:szCs w:val="24"/>
          <w:lang w:val="en-US"/>
        </w:rPr>
      </w:pPr>
      <w:r w:rsidRPr="00F26EF7">
        <w:rPr>
          <w:sz w:val="24"/>
          <w:szCs w:val="24"/>
          <w:lang w:val="en-US"/>
        </w:rPr>
        <w:t xml:space="preserve">Miguel, Edward, Shanker Satyanath, and Ernest Sergenti. 2004. Economic Shocks and Civil Conflict: An Instrumental Variables Approach. </w:t>
      </w:r>
      <w:r w:rsidRPr="00F26EF7">
        <w:rPr>
          <w:i/>
          <w:sz w:val="24"/>
          <w:szCs w:val="24"/>
          <w:lang w:val="en-US"/>
        </w:rPr>
        <w:t>Journal of Political Economy</w:t>
      </w:r>
      <w:r w:rsidRPr="00F26EF7">
        <w:rPr>
          <w:sz w:val="24"/>
          <w:szCs w:val="24"/>
          <w:lang w:val="en-US"/>
        </w:rPr>
        <w:t xml:space="preserve"> 112 (4):725–53.</w:t>
      </w:r>
    </w:p>
    <w:p w14:paraId="0B058F51" w14:textId="2D22BCEE" w:rsidR="00F405BC" w:rsidRPr="00F26EF7" w:rsidRDefault="00D4646A">
      <w:pPr>
        <w:rPr>
          <w:sz w:val="24"/>
          <w:szCs w:val="24"/>
          <w:lang w:val="en-US"/>
        </w:rPr>
      </w:pPr>
      <w:r w:rsidRPr="00F26EF7">
        <w:rPr>
          <w:sz w:val="24"/>
          <w:szCs w:val="24"/>
          <w:lang w:val="en-US"/>
        </w:rPr>
        <w:t>Nelson, Joan M. 1990. E</w:t>
      </w:r>
      <w:r w:rsidRPr="00F26EF7">
        <w:rPr>
          <w:i/>
          <w:sz w:val="24"/>
          <w:szCs w:val="24"/>
          <w:lang w:val="en-US"/>
        </w:rPr>
        <w:t>con</w:t>
      </w:r>
      <w:r w:rsidR="000C381F">
        <w:rPr>
          <w:i/>
          <w:sz w:val="24"/>
          <w:szCs w:val="24"/>
          <w:lang w:val="en-US"/>
        </w:rPr>
        <w:t>omic crisis and policy choice: T</w:t>
      </w:r>
      <w:r w:rsidRPr="00F26EF7">
        <w:rPr>
          <w:i/>
          <w:sz w:val="24"/>
          <w:szCs w:val="24"/>
          <w:lang w:val="en-US"/>
        </w:rPr>
        <w:t>he politics of adjustment in the Third World.</w:t>
      </w:r>
      <w:r w:rsidR="000C381F">
        <w:rPr>
          <w:sz w:val="24"/>
          <w:szCs w:val="24"/>
          <w:lang w:val="en-US"/>
        </w:rPr>
        <w:t xml:space="preserve"> Princeton, NJ</w:t>
      </w:r>
      <w:r w:rsidRPr="00F26EF7">
        <w:rPr>
          <w:sz w:val="24"/>
          <w:szCs w:val="24"/>
          <w:lang w:val="en-US"/>
        </w:rPr>
        <w:t>: Princeton University Press.</w:t>
      </w:r>
    </w:p>
    <w:p w14:paraId="6F57D643" w14:textId="5F8B6868" w:rsidR="00F405BC" w:rsidRPr="00F26EF7" w:rsidRDefault="00D4646A">
      <w:pPr>
        <w:rPr>
          <w:sz w:val="24"/>
          <w:szCs w:val="24"/>
          <w:lang w:val="en-US"/>
        </w:rPr>
      </w:pPr>
      <w:r w:rsidRPr="00F26EF7">
        <w:rPr>
          <w:sz w:val="24"/>
          <w:szCs w:val="24"/>
          <w:lang w:val="en-US"/>
        </w:rPr>
        <w:t xml:space="preserve">Nelson, Stephen C. and Geoffrey P. Wallace. 2016. Are IMF lending programs good or bad for democracy? </w:t>
      </w:r>
      <w:r w:rsidRPr="00F26EF7">
        <w:rPr>
          <w:i/>
          <w:sz w:val="24"/>
          <w:szCs w:val="24"/>
          <w:lang w:val="en-US"/>
        </w:rPr>
        <w:t>Review of International Organizations</w:t>
      </w:r>
      <w:r w:rsidRPr="00F26EF7">
        <w:rPr>
          <w:sz w:val="24"/>
          <w:szCs w:val="24"/>
          <w:lang w:val="en-US"/>
        </w:rPr>
        <w:t xml:space="preserve"> </w:t>
      </w:r>
      <w:r w:rsidR="00A4503C">
        <w:rPr>
          <w:sz w:val="24"/>
          <w:szCs w:val="24"/>
          <w:lang w:val="en-US"/>
        </w:rPr>
        <w:t xml:space="preserve">12(4): </w:t>
      </w:r>
      <w:r w:rsidRPr="00F26EF7">
        <w:rPr>
          <w:sz w:val="24"/>
          <w:szCs w:val="24"/>
          <w:lang w:val="en-US"/>
        </w:rPr>
        <w:t>1–36.</w:t>
      </w:r>
    </w:p>
    <w:p w14:paraId="17C3BF41" w14:textId="77777777" w:rsidR="00F405BC" w:rsidRPr="00F26EF7" w:rsidRDefault="00D4646A">
      <w:pPr>
        <w:rPr>
          <w:sz w:val="24"/>
          <w:szCs w:val="24"/>
          <w:lang w:val="en-US"/>
        </w:rPr>
      </w:pPr>
      <w:r w:rsidRPr="00F26EF7">
        <w:rPr>
          <w:sz w:val="24"/>
          <w:szCs w:val="24"/>
          <w:lang w:val="en-US"/>
        </w:rPr>
        <w:t xml:space="preserve">Oberdabernig, Doris A. 2013. Revisiting the effects of IMF programs on poverty and inequality. </w:t>
      </w:r>
      <w:r w:rsidRPr="00F26EF7">
        <w:rPr>
          <w:i/>
          <w:sz w:val="24"/>
          <w:szCs w:val="24"/>
          <w:lang w:val="en-US"/>
        </w:rPr>
        <w:t>World Development</w:t>
      </w:r>
      <w:r w:rsidRPr="00F26EF7">
        <w:rPr>
          <w:sz w:val="24"/>
          <w:szCs w:val="24"/>
          <w:lang w:val="en-US"/>
        </w:rPr>
        <w:t xml:space="preserve"> 46: 113–42.</w:t>
      </w:r>
    </w:p>
    <w:p w14:paraId="6FB8235A" w14:textId="707E6905" w:rsidR="007F47A2" w:rsidRDefault="007F47A2" w:rsidP="00A4503C">
      <w:pPr>
        <w:rPr>
          <w:sz w:val="24"/>
          <w:szCs w:val="24"/>
          <w:lang w:val="en-US"/>
        </w:rPr>
      </w:pPr>
      <w:r w:rsidRPr="00F26EF7">
        <w:rPr>
          <w:sz w:val="24"/>
          <w:szCs w:val="24"/>
          <w:lang w:val="en-US"/>
        </w:rPr>
        <w:t>Owen, Erica and Noel</w:t>
      </w:r>
      <w:r w:rsidR="00A4503C">
        <w:rPr>
          <w:sz w:val="24"/>
          <w:szCs w:val="24"/>
          <w:lang w:val="en-US"/>
        </w:rPr>
        <w:t xml:space="preserve"> P. Johnston</w:t>
      </w:r>
      <w:r w:rsidRPr="00F26EF7">
        <w:rPr>
          <w:sz w:val="24"/>
          <w:szCs w:val="24"/>
          <w:lang w:val="en-US"/>
        </w:rPr>
        <w:t>. 2017. Occupation and the Political Economy of Trade: Job routineness, offshorability and protectionist sentiment.</w:t>
      </w:r>
      <w:r w:rsidR="00A4503C">
        <w:rPr>
          <w:sz w:val="24"/>
          <w:szCs w:val="24"/>
          <w:lang w:val="en-US"/>
        </w:rPr>
        <w:t xml:space="preserve"> </w:t>
      </w:r>
      <w:r w:rsidRPr="00F26EF7">
        <w:rPr>
          <w:i/>
          <w:sz w:val="24"/>
          <w:szCs w:val="24"/>
          <w:lang w:val="en-US"/>
        </w:rPr>
        <w:t>International Organization</w:t>
      </w:r>
      <w:r w:rsidR="00A4503C">
        <w:rPr>
          <w:i/>
          <w:sz w:val="24"/>
          <w:szCs w:val="24"/>
          <w:lang w:val="en-US"/>
        </w:rPr>
        <w:t xml:space="preserve"> </w:t>
      </w:r>
      <w:r w:rsidR="00A4503C" w:rsidRPr="00A4503C">
        <w:rPr>
          <w:sz w:val="24"/>
          <w:szCs w:val="24"/>
          <w:lang w:val="en-US"/>
        </w:rPr>
        <w:t>71 (4): 665-699</w:t>
      </w:r>
      <w:r w:rsidR="00A4503C">
        <w:rPr>
          <w:sz w:val="24"/>
          <w:szCs w:val="24"/>
          <w:lang w:val="en-US"/>
        </w:rPr>
        <w:t>.</w:t>
      </w:r>
    </w:p>
    <w:p w14:paraId="2384799F" w14:textId="56550AD0" w:rsidR="005D7211" w:rsidRPr="00F26EF7" w:rsidRDefault="005D7211" w:rsidP="00A4503C">
      <w:pPr>
        <w:rPr>
          <w:sz w:val="24"/>
          <w:szCs w:val="24"/>
          <w:lang w:val="en-US"/>
        </w:rPr>
      </w:pPr>
      <w:r w:rsidRPr="00CD199B">
        <w:rPr>
          <w:sz w:val="24"/>
          <w:szCs w:val="24"/>
          <w:lang w:val="en-US"/>
        </w:rPr>
        <w:t>Papi, L</w:t>
      </w:r>
      <w:r w:rsidR="00CD199B" w:rsidRPr="00CD199B">
        <w:rPr>
          <w:sz w:val="24"/>
          <w:szCs w:val="24"/>
          <w:lang w:val="en-US"/>
        </w:rPr>
        <w:t>uca</w:t>
      </w:r>
      <w:r w:rsidRPr="00CD199B">
        <w:rPr>
          <w:sz w:val="24"/>
          <w:szCs w:val="24"/>
          <w:lang w:val="en-US"/>
        </w:rPr>
        <w:t xml:space="preserve">, </w:t>
      </w:r>
      <w:r w:rsidR="00CD199B" w:rsidRPr="00CD199B">
        <w:rPr>
          <w:sz w:val="24"/>
          <w:szCs w:val="24"/>
          <w:lang w:val="en-US"/>
        </w:rPr>
        <w:t xml:space="preserve">Andrea F. </w:t>
      </w:r>
      <w:r w:rsidRPr="00CD199B">
        <w:rPr>
          <w:sz w:val="24"/>
          <w:szCs w:val="24"/>
          <w:lang w:val="en-US"/>
        </w:rPr>
        <w:t>Presbitero</w:t>
      </w:r>
      <w:r w:rsidR="00CD199B" w:rsidRPr="00CD199B">
        <w:rPr>
          <w:sz w:val="24"/>
          <w:szCs w:val="24"/>
          <w:lang w:val="en-US"/>
        </w:rPr>
        <w:t xml:space="preserve">  and Alberto </w:t>
      </w:r>
      <w:r w:rsidRPr="00CD199B">
        <w:rPr>
          <w:sz w:val="24"/>
          <w:szCs w:val="24"/>
          <w:lang w:val="en-US"/>
        </w:rPr>
        <w:t xml:space="preserve">Zazzaro, A. 2015. </w:t>
      </w:r>
      <w:r w:rsidRPr="005D7211">
        <w:rPr>
          <w:sz w:val="24"/>
          <w:szCs w:val="24"/>
          <w:lang w:val="en-US"/>
        </w:rPr>
        <w:t>IMF Lending and Banking Crises</w:t>
      </w:r>
      <w:r w:rsidRPr="00CD199B">
        <w:rPr>
          <w:i/>
          <w:sz w:val="24"/>
          <w:szCs w:val="24"/>
          <w:lang w:val="en-US"/>
        </w:rPr>
        <w:t>. IMF Working Papers</w:t>
      </w:r>
      <w:r w:rsidRPr="005D7211">
        <w:rPr>
          <w:sz w:val="24"/>
          <w:szCs w:val="24"/>
          <w:lang w:val="en-US"/>
        </w:rPr>
        <w:t xml:space="preserve"> 63(3), 644–691.</w:t>
      </w:r>
    </w:p>
    <w:p w14:paraId="4B8CDE47" w14:textId="77777777" w:rsidR="00F405BC" w:rsidRPr="00F26EF7" w:rsidRDefault="00D4646A">
      <w:pPr>
        <w:rPr>
          <w:sz w:val="24"/>
          <w:szCs w:val="24"/>
          <w:lang w:val="en-US"/>
        </w:rPr>
      </w:pPr>
      <w:r w:rsidRPr="00F26EF7">
        <w:rPr>
          <w:sz w:val="24"/>
          <w:szCs w:val="24"/>
          <w:lang w:val="en-US"/>
        </w:rPr>
        <w:lastRenderedPageBreak/>
        <w:t>Perotti, Roberto 2013. The austerity myth: gain without pain? In</w:t>
      </w:r>
      <w:r w:rsidRPr="00F26EF7">
        <w:rPr>
          <w:lang w:val="en-US"/>
        </w:rPr>
        <w:t xml:space="preserve"> </w:t>
      </w:r>
      <w:r w:rsidRPr="00F26EF7">
        <w:rPr>
          <w:i/>
          <w:sz w:val="24"/>
          <w:szCs w:val="24"/>
          <w:lang w:val="en-US"/>
        </w:rPr>
        <w:t>Fiscal Policy after the Financial Crisis</w:t>
      </w:r>
      <w:r w:rsidRPr="00F26EF7">
        <w:rPr>
          <w:sz w:val="24"/>
          <w:szCs w:val="24"/>
          <w:lang w:val="en-US"/>
        </w:rPr>
        <w:t>, Alberto Alesina and Francesco Giavazzi, eds., pp. 307–54, Chicago, IL: University of Chicago Press.</w:t>
      </w:r>
    </w:p>
    <w:p w14:paraId="76383670" w14:textId="559796C5" w:rsidR="00F405BC" w:rsidRPr="00F26EF7" w:rsidRDefault="00D4646A">
      <w:pPr>
        <w:rPr>
          <w:sz w:val="24"/>
          <w:szCs w:val="24"/>
          <w:lang w:val="en-US"/>
        </w:rPr>
      </w:pPr>
      <w:r w:rsidRPr="00F26EF7">
        <w:rPr>
          <w:sz w:val="24"/>
          <w:szCs w:val="24"/>
          <w:lang w:val="en-US"/>
        </w:rPr>
        <w:t xml:space="preserve">Ponticelli, Jacopo and Hans-Joachim Voth. 2011. Austerity and Anarchy: Budget Cuts and Social Unrest in </w:t>
      </w:r>
      <w:r w:rsidR="00383216">
        <w:rPr>
          <w:sz w:val="24"/>
          <w:szCs w:val="24"/>
          <w:lang w:val="en-US"/>
        </w:rPr>
        <w:t>Europe, 1919-</w:t>
      </w:r>
      <w:r w:rsidRPr="00F26EF7">
        <w:rPr>
          <w:sz w:val="24"/>
          <w:szCs w:val="24"/>
          <w:lang w:val="en-US"/>
        </w:rPr>
        <w:t>2008. Economics Working Papers 1342. Barcelona, Spain: Department of Economics and Business, University Pompeu Fabra.</w:t>
      </w:r>
    </w:p>
    <w:p w14:paraId="658D4F10" w14:textId="77777777" w:rsidR="00F405BC" w:rsidRPr="00F26EF7" w:rsidRDefault="00D4646A">
      <w:pPr>
        <w:rPr>
          <w:sz w:val="24"/>
          <w:szCs w:val="24"/>
          <w:lang w:val="en-US"/>
        </w:rPr>
      </w:pPr>
      <w:r w:rsidRPr="00F26EF7">
        <w:rPr>
          <w:sz w:val="24"/>
          <w:szCs w:val="24"/>
          <w:lang w:val="en-US"/>
        </w:rPr>
        <w:t xml:space="preserve">Przeworski, Adam, and James R. Vreeland 2000. The effect of IMF programs on economic growth. </w:t>
      </w:r>
      <w:r w:rsidRPr="00F26EF7">
        <w:rPr>
          <w:i/>
          <w:sz w:val="24"/>
          <w:szCs w:val="24"/>
          <w:lang w:val="en-US"/>
        </w:rPr>
        <w:t>Journal of Development Economics</w:t>
      </w:r>
      <w:r w:rsidRPr="00F26EF7">
        <w:rPr>
          <w:sz w:val="24"/>
          <w:szCs w:val="24"/>
          <w:lang w:val="en-US"/>
        </w:rPr>
        <w:t xml:space="preserve"> 62: 385–421.</w:t>
      </w:r>
    </w:p>
    <w:p w14:paraId="791EF3B3" w14:textId="77777777" w:rsidR="00F405BC" w:rsidRPr="00F26EF7" w:rsidRDefault="00D4646A">
      <w:pPr>
        <w:rPr>
          <w:sz w:val="24"/>
          <w:szCs w:val="24"/>
          <w:lang w:val="en-US"/>
        </w:rPr>
      </w:pPr>
      <w:r w:rsidRPr="00F26EF7">
        <w:rPr>
          <w:sz w:val="24"/>
          <w:szCs w:val="24"/>
          <w:lang w:val="en-US"/>
        </w:rPr>
        <w:t xml:space="preserve">Richards, David L. and Roland D. Gelleny. 2006. Banking Crises, Collective Protest and Rebellion. </w:t>
      </w:r>
      <w:r w:rsidRPr="00F26EF7">
        <w:rPr>
          <w:i/>
          <w:sz w:val="24"/>
          <w:szCs w:val="24"/>
          <w:lang w:val="en-US"/>
        </w:rPr>
        <w:t>Canadian Journal of Political Science</w:t>
      </w:r>
      <w:r w:rsidRPr="00F26EF7">
        <w:rPr>
          <w:sz w:val="24"/>
          <w:szCs w:val="24"/>
          <w:lang w:val="en-US"/>
        </w:rPr>
        <w:t xml:space="preserve"> 39(4): 777-801.</w:t>
      </w:r>
    </w:p>
    <w:p w14:paraId="33780088" w14:textId="77777777" w:rsidR="00F405BC" w:rsidRPr="00F26EF7" w:rsidRDefault="00D4646A">
      <w:pPr>
        <w:rPr>
          <w:sz w:val="24"/>
          <w:szCs w:val="24"/>
          <w:lang w:val="en-US"/>
        </w:rPr>
      </w:pPr>
      <w:r w:rsidRPr="00F26EF7">
        <w:rPr>
          <w:sz w:val="24"/>
          <w:szCs w:val="24"/>
          <w:lang w:val="en-US"/>
        </w:rPr>
        <w:t>Sattler, Thomas and Stefanie Walter. 2010. Monetary Credibility vs. Voter Approval: Political Institutions and Exchange-Rate Stabilization during Crises.</w:t>
      </w:r>
      <w:r w:rsidRPr="00F26EF7">
        <w:rPr>
          <w:i/>
          <w:sz w:val="24"/>
          <w:szCs w:val="24"/>
          <w:lang w:val="en-US"/>
        </w:rPr>
        <w:t xml:space="preserve"> Economics &amp; Politics</w:t>
      </w:r>
      <w:r w:rsidRPr="00F26EF7">
        <w:rPr>
          <w:sz w:val="24"/>
          <w:szCs w:val="24"/>
          <w:lang w:val="en-US"/>
        </w:rPr>
        <w:t xml:space="preserve"> 22(3): 392-418.</w:t>
      </w:r>
    </w:p>
    <w:p w14:paraId="1DB92777" w14:textId="77777777" w:rsidR="00F405BC" w:rsidRPr="00F26EF7" w:rsidRDefault="00D4646A">
      <w:pPr>
        <w:rPr>
          <w:sz w:val="24"/>
          <w:szCs w:val="24"/>
          <w:lang w:val="en-US"/>
        </w:rPr>
      </w:pPr>
      <w:r w:rsidRPr="00F26EF7">
        <w:rPr>
          <w:sz w:val="24"/>
          <w:szCs w:val="24"/>
          <w:lang w:val="en-US"/>
        </w:rPr>
        <w:t>Schneider, Gerald 2014. Peace through globalization and capitalism? Prospects of two liberal propositions.</w:t>
      </w:r>
      <w:r w:rsidRPr="00F26EF7">
        <w:rPr>
          <w:i/>
          <w:sz w:val="24"/>
          <w:szCs w:val="24"/>
          <w:lang w:val="en-US"/>
        </w:rPr>
        <w:t xml:space="preserve"> Journal of Peace Research </w:t>
      </w:r>
      <w:r w:rsidRPr="00F26EF7">
        <w:rPr>
          <w:sz w:val="24"/>
          <w:szCs w:val="24"/>
          <w:lang w:val="en-US"/>
        </w:rPr>
        <w:t>51(2): 173–183.</w:t>
      </w:r>
    </w:p>
    <w:p w14:paraId="632BD3B3" w14:textId="4B2712E9" w:rsidR="00F405BC" w:rsidRPr="00F26EF7" w:rsidRDefault="00D4646A">
      <w:pPr>
        <w:rPr>
          <w:sz w:val="24"/>
          <w:szCs w:val="24"/>
          <w:lang w:val="en-US"/>
        </w:rPr>
      </w:pPr>
      <w:r w:rsidRPr="00F26EF7">
        <w:rPr>
          <w:sz w:val="24"/>
          <w:szCs w:val="24"/>
          <w:lang w:val="en-US"/>
        </w:rPr>
        <w:t>Schrodt, Phil</w:t>
      </w:r>
      <w:r w:rsidR="00383216">
        <w:rPr>
          <w:sz w:val="24"/>
          <w:szCs w:val="24"/>
          <w:lang w:val="en-US"/>
        </w:rPr>
        <w:t>ip</w:t>
      </w:r>
      <w:r w:rsidRPr="00F26EF7">
        <w:rPr>
          <w:sz w:val="24"/>
          <w:szCs w:val="24"/>
          <w:lang w:val="en-US"/>
        </w:rPr>
        <w:t xml:space="preserve"> A. 2012. CAMEO: Conflict and Mediation Event Observations Event and Actor Codebook. http://data.gdeltproject.org/documentation/CAMEO.Manual.1.1b3.pdf.</w:t>
      </w:r>
    </w:p>
    <w:p w14:paraId="23656135" w14:textId="77777777" w:rsidR="00F405BC" w:rsidRPr="00F26EF7" w:rsidRDefault="00D4646A">
      <w:pPr>
        <w:rPr>
          <w:sz w:val="24"/>
          <w:szCs w:val="24"/>
          <w:lang w:val="en-US"/>
        </w:rPr>
      </w:pPr>
      <w:r w:rsidRPr="00F26EF7">
        <w:rPr>
          <w:sz w:val="24"/>
          <w:szCs w:val="24"/>
          <w:lang w:val="en-US"/>
        </w:rPr>
        <w:t xml:space="preserve">Stiglitz, Joseph E. 2002. </w:t>
      </w:r>
      <w:r w:rsidRPr="00F26EF7">
        <w:rPr>
          <w:i/>
          <w:sz w:val="24"/>
          <w:szCs w:val="24"/>
          <w:lang w:val="en-US"/>
        </w:rPr>
        <w:t>Globalization and its Discontents</w:t>
      </w:r>
      <w:r w:rsidRPr="00F26EF7">
        <w:rPr>
          <w:sz w:val="24"/>
          <w:szCs w:val="24"/>
          <w:lang w:val="en-US"/>
        </w:rPr>
        <w:t>. London: Allen Lane.</w:t>
      </w:r>
    </w:p>
    <w:p w14:paraId="034EE64E" w14:textId="77777777" w:rsidR="00F405BC" w:rsidRPr="00F26EF7" w:rsidRDefault="00D4646A">
      <w:pPr>
        <w:rPr>
          <w:sz w:val="24"/>
          <w:szCs w:val="24"/>
          <w:lang w:val="en-US"/>
        </w:rPr>
      </w:pPr>
      <w:r w:rsidRPr="00F26EF7">
        <w:rPr>
          <w:sz w:val="24"/>
          <w:szCs w:val="24"/>
          <w:lang w:val="en-US"/>
        </w:rPr>
        <w:t xml:space="preserve">Stokes, Susan. 1996. Public Opinion and Market Reforms: The Limits of Economic Voting. </w:t>
      </w:r>
      <w:r w:rsidRPr="00F26EF7">
        <w:rPr>
          <w:i/>
          <w:sz w:val="24"/>
          <w:szCs w:val="24"/>
          <w:lang w:val="en-US"/>
        </w:rPr>
        <w:t>Comparative Political Studies</w:t>
      </w:r>
      <w:r w:rsidRPr="00F26EF7">
        <w:rPr>
          <w:sz w:val="24"/>
          <w:szCs w:val="24"/>
          <w:lang w:val="en-US"/>
        </w:rPr>
        <w:t xml:space="preserve"> 29 (5):499-519.</w:t>
      </w:r>
    </w:p>
    <w:p w14:paraId="04E5ECB8" w14:textId="77777777" w:rsidR="00F405BC" w:rsidRPr="00F26EF7" w:rsidRDefault="00D4646A">
      <w:pPr>
        <w:rPr>
          <w:sz w:val="24"/>
          <w:szCs w:val="24"/>
          <w:lang w:val="en-US"/>
        </w:rPr>
      </w:pPr>
      <w:r w:rsidRPr="00F26EF7">
        <w:rPr>
          <w:sz w:val="24"/>
          <w:szCs w:val="24"/>
          <w:lang w:val="en-US"/>
        </w:rPr>
        <w:t xml:space="preserve">Stone, Randall W. 2008. The Scope of IMF Conditionality. </w:t>
      </w:r>
      <w:r w:rsidRPr="00F26EF7">
        <w:rPr>
          <w:i/>
          <w:sz w:val="24"/>
          <w:szCs w:val="24"/>
          <w:lang w:val="en-US"/>
        </w:rPr>
        <w:t xml:space="preserve">International Organization </w:t>
      </w:r>
      <w:r w:rsidRPr="00F26EF7">
        <w:rPr>
          <w:sz w:val="24"/>
          <w:szCs w:val="24"/>
          <w:lang w:val="en-US"/>
        </w:rPr>
        <w:t>62(10): 589–620.</w:t>
      </w:r>
    </w:p>
    <w:p w14:paraId="03B71309" w14:textId="77777777" w:rsidR="00F405BC" w:rsidRPr="00F26EF7" w:rsidRDefault="00D4646A">
      <w:pPr>
        <w:rPr>
          <w:sz w:val="24"/>
          <w:szCs w:val="24"/>
          <w:lang w:val="en-US"/>
        </w:rPr>
      </w:pPr>
      <w:r w:rsidRPr="00F26EF7">
        <w:rPr>
          <w:sz w:val="24"/>
          <w:szCs w:val="24"/>
          <w:lang w:val="en-US"/>
        </w:rPr>
        <w:t xml:space="preserve">Stroup, Caleb and Ben Zissimos 2013. Social Unrest in the Wake of IMF Structural Adjustment Programs. In </w:t>
      </w:r>
      <w:r w:rsidRPr="00F26EF7">
        <w:rPr>
          <w:i/>
          <w:sz w:val="24"/>
          <w:szCs w:val="24"/>
          <w:lang w:val="en-US"/>
        </w:rPr>
        <w:t xml:space="preserve">The Economics of Conflict: Theory and Empirical Evidence, </w:t>
      </w:r>
      <w:r w:rsidRPr="00F26EF7">
        <w:rPr>
          <w:sz w:val="24"/>
          <w:szCs w:val="24"/>
          <w:lang w:val="en-US"/>
        </w:rPr>
        <w:t>Karl Wärneryd ed. Cambridge, MA: MIT Press, pp. 209-230.</w:t>
      </w:r>
    </w:p>
    <w:p w14:paraId="78E67F60" w14:textId="51DCB04C" w:rsidR="00564529" w:rsidRPr="00F26EF7" w:rsidRDefault="00564529" w:rsidP="00564529">
      <w:pPr>
        <w:rPr>
          <w:sz w:val="24"/>
          <w:szCs w:val="24"/>
          <w:lang w:val="en-US"/>
        </w:rPr>
      </w:pPr>
      <w:r w:rsidRPr="00F26EF7">
        <w:rPr>
          <w:sz w:val="24"/>
          <w:szCs w:val="24"/>
          <w:lang w:val="en-US"/>
        </w:rPr>
        <w:t xml:space="preserve">Taylor, John B. 2007. </w:t>
      </w:r>
      <w:r w:rsidRPr="00F26EF7">
        <w:rPr>
          <w:i/>
          <w:sz w:val="24"/>
          <w:szCs w:val="24"/>
          <w:lang w:val="en-US"/>
        </w:rPr>
        <w:t>Global financial warriors: the untold story of international finance in the post-9/11 world</w:t>
      </w:r>
      <w:r w:rsidR="000C381F">
        <w:rPr>
          <w:sz w:val="24"/>
          <w:szCs w:val="24"/>
          <w:lang w:val="en-US"/>
        </w:rPr>
        <w:t xml:space="preserve">. New York: </w:t>
      </w:r>
      <w:r w:rsidRPr="00F26EF7">
        <w:rPr>
          <w:sz w:val="24"/>
          <w:szCs w:val="24"/>
          <w:lang w:val="en-US"/>
        </w:rPr>
        <w:t>Norton.</w:t>
      </w:r>
    </w:p>
    <w:p w14:paraId="5E435B6F" w14:textId="1DCDBF38" w:rsidR="00931B41" w:rsidRPr="00F26EF7" w:rsidRDefault="00362828">
      <w:pPr>
        <w:rPr>
          <w:sz w:val="24"/>
          <w:szCs w:val="24"/>
          <w:lang w:val="en-US"/>
        </w:rPr>
      </w:pPr>
      <w:r w:rsidRPr="00F26EF7">
        <w:rPr>
          <w:sz w:val="24"/>
          <w:szCs w:val="24"/>
          <w:lang w:val="en-US"/>
        </w:rPr>
        <w:lastRenderedPageBreak/>
        <w:t>The Economist 2013. Social unrest in 2014. Protesting predictions.</w:t>
      </w:r>
      <w:r w:rsidRPr="00F26EF7">
        <w:rPr>
          <w:lang w:val="en-US"/>
        </w:rPr>
        <w:t xml:space="preserve"> </w:t>
      </w:r>
      <w:hyperlink r:id="rId14" w:history="1">
        <w:r w:rsidR="00931B41" w:rsidRPr="00F26EF7">
          <w:rPr>
            <w:rStyle w:val="Hyperlink"/>
            <w:color w:val="auto"/>
            <w:sz w:val="24"/>
            <w:szCs w:val="24"/>
            <w:u w:val="none"/>
            <w:lang w:val="en-US"/>
          </w:rPr>
          <w:t>https://www.economist.com/cassandra/2013/12/23/protesting-predictions</w:t>
        </w:r>
      </w:hyperlink>
      <w:r w:rsidR="00931B41" w:rsidRPr="00F26EF7">
        <w:rPr>
          <w:color w:val="auto"/>
          <w:sz w:val="24"/>
          <w:szCs w:val="24"/>
          <w:lang w:val="en-US"/>
        </w:rPr>
        <w:t xml:space="preserve"> (last consulted, July 25, 2018)</w:t>
      </w:r>
    </w:p>
    <w:p w14:paraId="592410B2" w14:textId="349D9E46" w:rsidR="00362828" w:rsidRPr="00F26EF7" w:rsidRDefault="00931B41" w:rsidP="00931B41">
      <w:pPr>
        <w:rPr>
          <w:sz w:val="24"/>
          <w:szCs w:val="24"/>
          <w:lang w:val="en-US"/>
        </w:rPr>
      </w:pPr>
      <w:r w:rsidRPr="00F26EF7">
        <w:rPr>
          <w:sz w:val="24"/>
          <w:szCs w:val="24"/>
          <w:lang w:val="en-US"/>
        </w:rPr>
        <w:t xml:space="preserve">Thomsen, Poul. 2017. Structural Reforms in the Euro Zone: an IMF Perspective. </w:t>
      </w:r>
      <w:hyperlink r:id="rId15" w:history="1">
        <w:r w:rsidRPr="00F26EF7">
          <w:rPr>
            <w:rStyle w:val="Hyperlink"/>
            <w:color w:val="auto"/>
            <w:sz w:val="24"/>
            <w:szCs w:val="24"/>
            <w:u w:val="none"/>
            <w:lang w:val="en-US"/>
          </w:rPr>
          <w:t>http://www.imf.org/en/News/Articles/2017/10/23/sp101817-structural-reforms-in-the-euro-zone-an-imf-perspective</w:t>
        </w:r>
      </w:hyperlink>
      <w:r w:rsidRPr="00F26EF7">
        <w:rPr>
          <w:color w:val="auto"/>
          <w:sz w:val="24"/>
          <w:szCs w:val="24"/>
          <w:lang w:val="en-US"/>
        </w:rPr>
        <w:t xml:space="preserve"> </w:t>
      </w:r>
      <w:r w:rsidRPr="00F26EF7">
        <w:rPr>
          <w:sz w:val="24"/>
          <w:szCs w:val="24"/>
          <w:lang w:val="en-US"/>
        </w:rPr>
        <w:t>(last consulted, July 26, 2018)</w:t>
      </w:r>
    </w:p>
    <w:p w14:paraId="2161EF9E" w14:textId="77777777" w:rsidR="00F405BC" w:rsidRPr="00F26EF7" w:rsidRDefault="00D4646A">
      <w:pPr>
        <w:rPr>
          <w:sz w:val="24"/>
          <w:szCs w:val="24"/>
          <w:lang w:val="en-US"/>
        </w:rPr>
      </w:pPr>
      <w:r w:rsidRPr="00F26EF7">
        <w:rPr>
          <w:sz w:val="24"/>
          <w:szCs w:val="24"/>
          <w:lang w:val="en-US"/>
        </w:rPr>
        <w:t>Ulfelder, Jay 2009. Pathways to Political Liberalization in Dictatorships. SSNR Working 1532791.</w:t>
      </w:r>
    </w:p>
    <w:p w14:paraId="45324330" w14:textId="77777777" w:rsidR="00F405BC" w:rsidRPr="00F26EF7" w:rsidRDefault="00D4646A">
      <w:pPr>
        <w:rPr>
          <w:sz w:val="24"/>
          <w:szCs w:val="24"/>
          <w:lang w:val="en-US"/>
        </w:rPr>
      </w:pPr>
      <w:r w:rsidRPr="00F26EF7">
        <w:rPr>
          <w:sz w:val="24"/>
          <w:szCs w:val="24"/>
          <w:lang w:val="en-US"/>
        </w:rPr>
        <w:t xml:space="preserve">Vreeland, James R. 2003. </w:t>
      </w:r>
      <w:r w:rsidRPr="00F26EF7">
        <w:rPr>
          <w:i/>
          <w:sz w:val="24"/>
          <w:szCs w:val="24"/>
          <w:lang w:val="en-US"/>
        </w:rPr>
        <w:t>The IMF and economic development</w:t>
      </w:r>
      <w:r w:rsidRPr="00F26EF7">
        <w:rPr>
          <w:sz w:val="24"/>
          <w:szCs w:val="24"/>
          <w:lang w:val="en-US"/>
        </w:rPr>
        <w:t>. New York: Cambridge University Press.</w:t>
      </w:r>
    </w:p>
    <w:p w14:paraId="344863A0" w14:textId="77777777" w:rsidR="00F405BC" w:rsidRPr="00F26EF7" w:rsidRDefault="00D4646A">
      <w:pPr>
        <w:rPr>
          <w:sz w:val="24"/>
          <w:szCs w:val="24"/>
          <w:lang w:val="en-US"/>
        </w:rPr>
      </w:pPr>
      <w:r w:rsidRPr="00F26EF7">
        <w:rPr>
          <w:sz w:val="24"/>
          <w:szCs w:val="24"/>
          <w:lang w:val="en-US"/>
        </w:rPr>
        <w:t xml:space="preserve">Walter, Stefanie. 2009. The Limits and Rewards of Political Opportunism. How Electoral Timing Affects the Outcome of Currency Crises. </w:t>
      </w:r>
      <w:r w:rsidRPr="00F26EF7">
        <w:rPr>
          <w:i/>
          <w:sz w:val="24"/>
          <w:szCs w:val="24"/>
          <w:lang w:val="en-US"/>
        </w:rPr>
        <w:t>European Journal of Political Research</w:t>
      </w:r>
      <w:r w:rsidRPr="00F26EF7">
        <w:rPr>
          <w:sz w:val="24"/>
          <w:szCs w:val="24"/>
          <w:lang w:val="en-US"/>
        </w:rPr>
        <w:t xml:space="preserve"> 48(3): 367-96.</w:t>
      </w:r>
    </w:p>
    <w:p w14:paraId="5822CD23" w14:textId="35DEE76A" w:rsidR="00F405BC" w:rsidRPr="00F26EF7" w:rsidRDefault="00D4646A">
      <w:pPr>
        <w:rPr>
          <w:sz w:val="24"/>
          <w:szCs w:val="24"/>
          <w:lang w:val="en-US"/>
        </w:rPr>
      </w:pPr>
      <w:r w:rsidRPr="00F26EF7">
        <w:rPr>
          <w:sz w:val="24"/>
          <w:szCs w:val="24"/>
          <w:lang w:val="en-US"/>
        </w:rPr>
        <w:t xml:space="preserve">Walton, John and Ragin, Charles. 1990. Global and national sources of political protest: </w:t>
      </w:r>
      <w:r w:rsidR="00D3420A">
        <w:rPr>
          <w:sz w:val="24"/>
          <w:szCs w:val="24"/>
          <w:lang w:val="en-US"/>
        </w:rPr>
        <w:t>T</w:t>
      </w:r>
      <w:r w:rsidRPr="00F26EF7">
        <w:rPr>
          <w:sz w:val="24"/>
          <w:szCs w:val="24"/>
          <w:lang w:val="en-US"/>
        </w:rPr>
        <w:t xml:space="preserve">hird world responses to the debt crisis. </w:t>
      </w:r>
      <w:r w:rsidRPr="00F26EF7">
        <w:rPr>
          <w:i/>
          <w:sz w:val="24"/>
          <w:szCs w:val="24"/>
          <w:lang w:val="en-US"/>
        </w:rPr>
        <w:t>American Sociological Review</w:t>
      </w:r>
      <w:r w:rsidRPr="00F26EF7">
        <w:rPr>
          <w:sz w:val="24"/>
          <w:szCs w:val="24"/>
          <w:lang w:val="en-US"/>
        </w:rPr>
        <w:t xml:space="preserve"> 55, 876–90.</w:t>
      </w:r>
    </w:p>
    <w:p w14:paraId="4A2493A7" w14:textId="3FB2FDB4" w:rsidR="00F405BC" w:rsidRPr="00F26EF7" w:rsidRDefault="00D4646A">
      <w:pPr>
        <w:rPr>
          <w:sz w:val="24"/>
          <w:szCs w:val="24"/>
          <w:lang w:val="en-US"/>
        </w:rPr>
      </w:pPr>
      <w:r w:rsidRPr="00F26EF7">
        <w:rPr>
          <w:sz w:val="24"/>
          <w:szCs w:val="24"/>
          <w:lang w:val="en-US"/>
        </w:rPr>
        <w:t xml:space="preserve">Walton, John, and David Seddon. 1994. </w:t>
      </w:r>
      <w:r w:rsidRPr="00BF021A">
        <w:rPr>
          <w:i/>
          <w:sz w:val="24"/>
          <w:szCs w:val="24"/>
          <w:lang w:val="en-US"/>
        </w:rPr>
        <w:t xml:space="preserve">Free markets </w:t>
      </w:r>
      <w:r w:rsidR="00BF021A">
        <w:rPr>
          <w:i/>
          <w:sz w:val="24"/>
          <w:szCs w:val="24"/>
          <w:lang w:val="en-US"/>
        </w:rPr>
        <w:t>and food riots: T</w:t>
      </w:r>
      <w:r w:rsidRPr="00BF021A">
        <w:rPr>
          <w:i/>
          <w:sz w:val="24"/>
          <w:szCs w:val="24"/>
          <w:lang w:val="en-US"/>
        </w:rPr>
        <w:t>he politics of global adjustment</w:t>
      </w:r>
      <w:r w:rsidRPr="00F26EF7">
        <w:rPr>
          <w:sz w:val="24"/>
          <w:szCs w:val="24"/>
          <w:lang w:val="en-US"/>
        </w:rPr>
        <w:t>. Cambridge, M</w:t>
      </w:r>
      <w:r w:rsidR="00BF021A">
        <w:rPr>
          <w:sz w:val="24"/>
          <w:szCs w:val="24"/>
          <w:lang w:val="en-US"/>
        </w:rPr>
        <w:t>A</w:t>
      </w:r>
      <w:r w:rsidRPr="00F26EF7">
        <w:rPr>
          <w:sz w:val="24"/>
          <w:szCs w:val="24"/>
          <w:lang w:val="en-US"/>
        </w:rPr>
        <w:t>: Blackwell.</w:t>
      </w:r>
    </w:p>
    <w:p w14:paraId="56FDC920" w14:textId="350D4F9C" w:rsidR="00F405BC" w:rsidRPr="00383216" w:rsidRDefault="004E70AF">
      <w:pPr>
        <w:rPr>
          <w:sz w:val="24"/>
          <w:szCs w:val="24"/>
          <w:lang w:val="en-US"/>
        </w:rPr>
      </w:pPr>
      <w:r w:rsidRPr="00F26EF7">
        <w:rPr>
          <w:sz w:val="24"/>
          <w:szCs w:val="24"/>
          <w:lang w:val="en-US"/>
        </w:rPr>
        <w:t xml:space="preserve">Wyplosz, Charles. 2017.  The Eurozone Crisis: A Near-Perfect Case of Mismanagement. In: Bournakis I., Tsoukis C., Christopoulos D., Palivos T. (eds) </w:t>
      </w:r>
      <w:r w:rsidRPr="00F26EF7">
        <w:rPr>
          <w:i/>
          <w:sz w:val="24"/>
          <w:szCs w:val="24"/>
          <w:lang w:val="en-US"/>
        </w:rPr>
        <w:t>Political Economy Perspectives on the Greek Crisis</w:t>
      </w:r>
      <w:r w:rsidRPr="00F26EF7">
        <w:rPr>
          <w:sz w:val="24"/>
          <w:szCs w:val="24"/>
          <w:lang w:val="en-US"/>
        </w:rPr>
        <w:t>. Cham: Palgrave Macmillan, pp. 41-59.</w:t>
      </w:r>
    </w:p>
    <w:sectPr w:rsidR="00F405BC" w:rsidRPr="00383216">
      <w:headerReference w:type="default" r:id="rId16"/>
      <w:pgSz w:w="11906" w:h="16838"/>
      <w:pgMar w:top="1418" w:right="1418" w:bottom="1134" w:left="1418" w:header="709" w:footer="709"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9DBBC" w14:textId="77777777" w:rsidR="007F7E90" w:rsidRDefault="007F7E90">
      <w:pPr>
        <w:spacing w:after="0" w:line="240" w:lineRule="auto"/>
      </w:pPr>
      <w:r>
        <w:separator/>
      </w:r>
    </w:p>
  </w:endnote>
  <w:endnote w:type="continuationSeparator" w:id="0">
    <w:p w14:paraId="018EDC54" w14:textId="77777777" w:rsidR="007F7E90" w:rsidRDefault="007F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063E9" w14:textId="77777777" w:rsidR="007F7E90" w:rsidRDefault="007F7E90">
      <w:r>
        <w:separator/>
      </w:r>
    </w:p>
  </w:footnote>
  <w:footnote w:type="continuationSeparator" w:id="0">
    <w:p w14:paraId="6368473B" w14:textId="77777777" w:rsidR="007F7E90" w:rsidRDefault="007F7E90">
      <w:r>
        <w:continuationSeparator/>
      </w:r>
    </w:p>
  </w:footnote>
  <w:footnote w:id="1">
    <w:p w14:paraId="508585FC" w14:textId="46CABF52" w:rsidR="006D6844" w:rsidRPr="004A32A0" w:rsidRDefault="006D6844">
      <w:pPr>
        <w:pStyle w:val="FootnoteText"/>
        <w:rPr>
          <w:lang w:val="en-GB"/>
        </w:rPr>
      </w:pPr>
      <w:r>
        <w:rPr>
          <w:rStyle w:val="FootnoteReference"/>
        </w:rPr>
        <w:footnoteRef/>
      </w:r>
      <w:r w:rsidRPr="00113527">
        <w:rPr>
          <w:lang w:val="en-US"/>
        </w:rPr>
        <w:t xml:space="preserve"> </w:t>
      </w:r>
      <w:r w:rsidRPr="00F26EF7">
        <w:rPr>
          <w:sz w:val="24"/>
          <w:szCs w:val="24"/>
          <w:lang w:val="en-US"/>
        </w:rPr>
        <w:t>There is a widespread consensus that the lack of counter-cyclical fiscal stimuli deepened the Great Depression (Almunia et al. 2010). Jordà and Taylor (2016: 220) estimate that a fiscal consolidation of the size of 1% of GDP translated into a “GDP loss of around 3.5% over five years” for the Great Recession, and that this effect dwarfed the positive effect of equivalent deficit reductions during economic booms.</w:t>
      </w:r>
    </w:p>
  </w:footnote>
  <w:footnote w:id="2">
    <w:p w14:paraId="31D186A6" w14:textId="3AB98512" w:rsidR="006D6844" w:rsidRPr="00D4646A" w:rsidRDefault="006D6844">
      <w:pPr>
        <w:pStyle w:val="FootnoteText"/>
        <w:rPr>
          <w:lang w:val="en-US"/>
        </w:rPr>
      </w:pPr>
      <w:r>
        <w:rPr>
          <w:rStyle w:val="FootnoteReference"/>
        </w:rPr>
        <w:footnoteRef/>
      </w:r>
      <w:r>
        <w:rPr>
          <w:rStyle w:val="FootnoteReference"/>
          <w:lang w:val="en-US"/>
        </w:rPr>
        <w:t xml:space="preserve"> </w:t>
      </w:r>
      <w:r>
        <w:rPr>
          <w:lang w:val="en-US"/>
        </w:rPr>
        <w:t xml:space="preserve">The IMF moved away from this policy agenda in the 2000s. However, Kentikelenis, Stubbs and King (2016) claim that the IMF did not change the substance of its disbursement policy after 2008. </w:t>
      </w:r>
    </w:p>
  </w:footnote>
  <w:footnote w:id="3">
    <w:p w14:paraId="19E58950" w14:textId="24FFF8F3" w:rsidR="006D6844" w:rsidRPr="00325522" w:rsidRDefault="006D6844">
      <w:pPr>
        <w:pStyle w:val="FootnoteText"/>
        <w:rPr>
          <w:lang w:val="en-US"/>
        </w:rPr>
      </w:pPr>
      <w:r>
        <w:rPr>
          <w:rStyle w:val="FootnoteReference"/>
        </w:rPr>
        <w:footnoteRef/>
      </w:r>
      <w:r w:rsidRPr="00325522">
        <w:rPr>
          <w:lang w:val="en-US"/>
        </w:rPr>
        <w:t xml:space="preserve"> </w:t>
      </w:r>
      <w:r>
        <w:rPr>
          <w:lang w:val="en-US"/>
        </w:rPr>
        <w:t>T</w:t>
      </w:r>
      <w:r w:rsidRPr="00325522">
        <w:rPr>
          <w:lang w:val="en-US"/>
        </w:rPr>
        <w:t xml:space="preserve">ask-oriented trade theory </w:t>
      </w:r>
      <w:r>
        <w:rPr>
          <w:lang w:val="en-US"/>
        </w:rPr>
        <w:t>is furthermore helpful to understand how the routineness and the off-shorability of a job affects the welfare consequences of economic integration and the resistance against globalization. Owen and Johnston (2017) demonstrate that respondents who perform routine tasks and work in a sector with a high job insecurity because of an increased competition from offshoring are more likely to have protectionist sentiments.</w:t>
      </w:r>
      <w:r w:rsidRPr="00325522">
        <w:rPr>
          <w:lang w:val="en-US"/>
        </w:rPr>
        <w:t xml:space="preserve"> </w:t>
      </w:r>
    </w:p>
  </w:footnote>
  <w:footnote w:id="4">
    <w:p w14:paraId="02D2F34E" w14:textId="3537398E" w:rsidR="006D6844" w:rsidRPr="00D53CF4" w:rsidRDefault="006D6844" w:rsidP="005D7211">
      <w:pPr>
        <w:pStyle w:val="FootnoteText"/>
        <w:rPr>
          <w:lang w:val="en-US"/>
        </w:rPr>
      </w:pPr>
      <w:r>
        <w:rPr>
          <w:rStyle w:val="FootnoteReference"/>
        </w:rPr>
        <w:footnoteRef/>
      </w:r>
      <w:r w:rsidRPr="00D53CF4">
        <w:rPr>
          <w:lang w:val="en-US"/>
        </w:rPr>
        <w:t xml:space="preserve"> </w:t>
      </w:r>
      <w:r>
        <w:rPr>
          <w:lang w:val="en-US"/>
        </w:rPr>
        <w:t>Chapman et al. (2017: 330) trace the discrepant findings in the literature on IMF to the economic or political importance of borrowing countries to the US. With more lax conditionality, crisis lending can become ineffective: “…</w:t>
      </w:r>
      <w:r w:rsidRPr="005D7211">
        <w:rPr>
          <w:lang w:val="en-US"/>
        </w:rPr>
        <w:t>design features of</w:t>
      </w:r>
      <w:r>
        <w:rPr>
          <w:lang w:val="en-US"/>
        </w:rPr>
        <w:t xml:space="preserve"> </w:t>
      </w:r>
      <w:r w:rsidRPr="005D7211">
        <w:rPr>
          <w:lang w:val="en-US"/>
        </w:rPr>
        <w:t>international organizations that may be necessary to secure the ‘buy in’ of major powers – such as</w:t>
      </w:r>
      <w:r>
        <w:rPr>
          <w:lang w:val="en-US"/>
        </w:rPr>
        <w:t xml:space="preserve"> </w:t>
      </w:r>
      <w:r w:rsidRPr="005D7211">
        <w:rPr>
          <w:lang w:val="en-US"/>
        </w:rPr>
        <w:t>the IMF governance structure, which allows key shareholders to exert informal influence over</w:t>
      </w:r>
      <w:r>
        <w:rPr>
          <w:lang w:val="en-US"/>
        </w:rPr>
        <w:t xml:space="preserve"> </w:t>
      </w:r>
      <w:r w:rsidRPr="005D7211">
        <w:rPr>
          <w:lang w:val="en-US"/>
        </w:rPr>
        <w:t>lending decisions – can have unintended consequences that undermine their effectiveness</w:t>
      </w:r>
      <w:r>
        <w:rPr>
          <w:lang w:val="en-US"/>
        </w:rPr>
        <w:t>.”</w:t>
      </w:r>
    </w:p>
  </w:footnote>
  <w:footnote w:id="5">
    <w:p w14:paraId="44EC460C" w14:textId="7F1B055D" w:rsidR="006D6844" w:rsidRPr="001F5845" w:rsidRDefault="006D6844">
      <w:pPr>
        <w:pStyle w:val="FootnoteText"/>
        <w:rPr>
          <w:lang w:val="en-GB"/>
        </w:rPr>
      </w:pPr>
      <w:r>
        <w:rPr>
          <w:rStyle w:val="FootnoteReference"/>
        </w:rPr>
        <w:footnoteRef/>
      </w:r>
      <w:r w:rsidRPr="00E721EF">
        <w:rPr>
          <w:lang w:val="en-US"/>
        </w:rPr>
        <w:t xml:space="preserve"> </w:t>
      </w:r>
      <w:r w:rsidRPr="00794C17">
        <w:rPr>
          <w:lang w:val="en-US"/>
        </w:rPr>
        <w:t xml:space="preserve">The ICEWS data became publicly available in early 2015, with an embargo on the data for the most recent twelve months. </w:t>
      </w:r>
      <w:r>
        <w:rPr>
          <w:lang w:val="en-GB"/>
        </w:rPr>
        <w:t xml:space="preserve">Since the ICEWS data for 1995-2000 have apparently been produced with a different methodology and have much lower recorded event frequencies, we limit our analysis to the post-2001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40555"/>
      <w:docPartObj>
        <w:docPartGallery w:val="Page Numbers (Top of Page)"/>
        <w:docPartUnique/>
      </w:docPartObj>
    </w:sdtPr>
    <w:sdtEndPr/>
    <w:sdtContent>
      <w:p w14:paraId="10E878B9" w14:textId="4B682AB6" w:rsidR="006D6844" w:rsidRDefault="006D6844">
        <w:pPr>
          <w:pStyle w:val="Header"/>
          <w:jc w:val="center"/>
        </w:pPr>
        <w:r>
          <w:fldChar w:fldCharType="begin"/>
        </w:r>
        <w:r>
          <w:instrText>PAGE</w:instrText>
        </w:r>
        <w:r>
          <w:fldChar w:fldCharType="separate"/>
        </w:r>
        <w:r w:rsidR="002E61C8">
          <w:rPr>
            <w:noProof/>
          </w:rPr>
          <w:t>20</w:t>
        </w:r>
        <w:r>
          <w:fldChar w:fldCharType="end"/>
        </w:r>
      </w:p>
    </w:sdtContent>
  </w:sdt>
  <w:p w14:paraId="416BFA91" w14:textId="77777777" w:rsidR="006D6844" w:rsidRDefault="006D6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26BE"/>
    <w:multiLevelType w:val="hybridMultilevel"/>
    <w:tmpl w:val="B92E9D9A"/>
    <w:lvl w:ilvl="0" w:tplc="D3F28E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927CC2-6834-4B68-934D-EF5AFC9E7C2F}"/>
    <w:docVar w:name="dgnword-eventsink" w:val="453348088"/>
  </w:docVars>
  <w:rsids>
    <w:rsidRoot w:val="00F405BC"/>
    <w:rsid w:val="0000140D"/>
    <w:rsid w:val="00003F5F"/>
    <w:rsid w:val="000116F5"/>
    <w:rsid w:val="00013840"/>
    <w:rsid w:val="000157C7"/>
    <w:rsid w:val="00022454"/>
    <w:rsid w:val="00023040"/>
    <w:rsid w:val="00031C96"/>
    <w:rsid w:val="00032106"/>
    <w:rsid w:val="00032157"/>
    <w:rsid w:val="00035C0F"/>
    <w:rsid w:val="00044537"/>
    <w:rsid w:val="00047301"/>
    <w:rsid w:val="0005764A"/>
    <w:rsid w:val="000578FC"/>
    <w:rsid w:val="000620C8"/>
    <w:rsid w:val="0008044C"/>
    <w:rsid w:val="000879CA"/>
    <w:rsid w:val="00087D60"/>
    <w:rsid w:val="00090139"/>
    <w:rsid w:val="0009367F"/>
    <w:rsid w:val="000A2CF2"/>
    <w:rsid w:val="000A594A"/>
    <w:rsid w:val="000A72DF"/>
    <w:rsid w:val="000B0BC7"/>
    <w:rsid w:val="000B3289"/>
    <w:rsid w:val="000B7709"/>
    <w:rsid w:val="000C279D"/>
    <w:rsid w:val="000C381F"/>
    <w:rsid w:val="000D07E3"/>
    <w:rsid w:val="000D4CD5"/>
    <w:rsid w:val="000D56CB"/>
    <w:rsid w:val="000D60D6"/>
    <w:rsid w:val="000D6E35"/>
    <w:rsid w:val="000D7458"/>
    <w:rsid w:val="000E08FF"/>
    <w:rsid w:val="000E1B69"/>
    <w:rsid w:val="000E243C"/>
    <w:rsid w:val="000E69BB"/>
    <w:rsid w:val="000E6D2F"/>
    <w:rsid w:val="000F2F27"/>
    <w:rsid w:val="000F3725"/>
    <w:rsid w:val="00104C32"/>
    <w:rsid w:val="00113527"/>
    <w:rsid w:val="00120B1E"/>
    <w:rsid w:val="00125687"/>
    <w:rsid w:val="00125E15"/>
    <w:rsid w:val="00130AB8"/>
    <w:rsid w:val="001327A1"/>
    <w:rsid w:val="001344C2"/>
    <w:rsid w:val="00146B8F"/>
    <w:rsid w:val="001478B0"/>
    <w:rsid w:val="00150954"/>
    <w:rsid w:val="00163F31"/>
    <w:rsid w:val="00164DA0"/>
    <w:rsid w:val="00183906"/>
    <w:rsid w:val="00192C33"/>
    <w:rsid w:val="00196B4B"/>
    <w:rsid w:val="001A58CC"/>
    <w:rsid w:val="001B367C"/>
    <w:rsid w:val="001B3FE2"/>
    <w:rsid w:val="001B50D9"/>
    <w:rsid w:val="001B7A7A"/>
    <w:rsid w:val="001C2B46"/>
    <w:rsid w:val="001C4B33"/>
    <w:rsid w:val="001D0F7C"/>
    <w:rsid w:val="001D5754"/>
    <w:rsid w:val="001E02B5"/>
    <w:rsid w:val="001E2FEB"/>
    <w:rsid w:val="001E467F"/>
    <w:rsid w:val="001E6DE3"/>
    <w:rsid w:val="001F0728"/>
    <w:rsid w:val="001F1D08"/>
    <w:rsid w:val="001F3DF9"/>
    <w:rsid w:val="001F5615"/>
    <w:rsid w:val="001F5845"/>
    <w:rsid w:val="00204E6D"/>
    <w:rsid w:val="0020613C"/>
    <w:rsid w:val="00213DC6"/>
    <w:rsid w:val="00221542"/>
    <w:rsid w:val="00225DAF"/>
    <w:rsid w:val="002303D3"/>
    <w:rsid w:val="00244ED6"/>
    <w:rsid w:val="002458F9"/>
    <w:rsid w:val="00260969"/>
    <w:rsid w:val="0026231C"/>
    <w:rsid w:val="002627F8"/>
    <w:rsid w:val="00270327"/>
    <w:rsid w:val="002725C3"/>
    <w:rsid w:val="00280CB3"/>
    <w:rsid w:val="00281D5D"/>
    <w:rsid w:val="00283513"/>
    <w:rsid w:val="00290F31"/>
    <w:rsid w:val="00295D30"/>
    <w:rsid w:val="002A2536"/>
    <w:rsid w:val="002A48CE"/>
    <w:rsid w:val="002B2780"/>
    <w:rsid w:val="002B2878"/>
    <w:rsid w:val="002B54C9"/>
    <w:rsid w:val="002B704D"/>
    <w:rsid w:val="002C1507"/>
    <w:rsid w:val="002C1BE5"/>
    <w:rsid w:val="002C7AA6"/>
    <w:rsid w:val="002D05D9"/>
    <w:rsid w:val="002D272A"/>
    <w:rsid w:val="002D457E"/>
    <w:rsid w:val="002D5880"/>
    <w:rsid w:val="002D7147"/>
    <w:rsid w:val="002E3F15"/>
    <w:rsid w:val="002E61C8"/>
    <w:rsid w:val="002F014C"/>
    <w:rsid w:val="002F2141"/>
    <w:rsid w:val="002F24D6"/>
    <w:rsid w:val="002F640A"/>
    <w:rsid w:val="002F7867"/>
    <w:rsid w:val="00301085"/>
    <w:rsid w:val="0030254C"/>
    <w:rsid w:val="00304502"/>
    <w:rsid w:val="003106BB"/>
    <w:rsid w:val="00311B41"/>
    <w:rsid w:val="00321E45"/>
    <w:rsid w:val="0032279C"/>
    <w:rsid w:val="00323D0D"/>
    <w:rsid w:val="00325522"/>
    <w:rsid w:val="00333812"/>
    <w:rsid w:val="00336331"/>
    <w:rsid w:val="00341104"/>
    <w:rsid w:val="00344AD9"/>
    <w:rsid w:val="00345737"/>
    <w:rsid w:val="00347A97"/>
    <w:rsid w:val="00353D9B"/>
    <w:rsid w:val="00356AA5"/>
    <w:rsid w:val="00362828"/>
    <w:rsid w:val="00375C75"/>
    <w:rsid w:val="003763B9"/>
    <w:rsid w:val="00380AA9"/>
    <w:rsid w:val="003812B0"/>
    <w:rsid w:val="0038130E"/>
    <w:rsid w:val="003828F4"/>
    <w:rsid w:val="00383042"/>
    <w:rsid w:val="00383216"/>
    <w:rsid w:val="00383E89"/>
    <w:rsid w:val="0039683E"/>
    <w:rsid w:val="003B0629"/>
    <w:rsid w:val="003C1D33"/>
    <w:rsid w:val="003C6D4E"/>
    <w:rsid w:val="003C72B3"/>
    <w:rsid w:val="003D0180"/>
    <w:rsid w:val="003D3C4C"/>
    <w:rsid w:val="003D70EA"/>
    <w:rsid w:val="003D7D51"/>
    <w:rsid w:val="003E3589"/>
    <w:rsid w:val="003E5DB6"/>
    <w:rsid w:val="003E666B"/>
    <w:rsid w:val="004020BD"/>
    <w:rsid w:val="0040619E"/>
    <w:rsid w:val="004061E7"/>
    <w:rsid w:val="00407909"/>
    <w:rsid w:val="00410716"/>
    <w:rsid w:val="00413CC5"/>
    <w:rsid w:val="00421B8E"/>
    <w:rsid w:val="00423996"/>
    <w:rsid w:val="0042508C"/>
    <w:rsid w:val="0043642A"/>
    <w:rsid w:val="00440DFB"/>
    <w:rsid w:val="00451643"/>
    <w:rsid w:val="00451C6E"/>
    <w:rsid w:val="004624A1"/>
    <w:rsid w:val="004636F5"/>
    <w:rsid w:val="00466015"/>
    <w:rsid w:val="00485B7D"/>
    <w:rsid w:val="004A2F7D"/>
    <w:rsid w:val="004A301C"/>
    <w:rsid w:val="004A32A0"/>
    <w:rsid w:val="004B0F87"/>
    <w:rsid w:val="004B3916"/>
    <w:rsid w:val="004B4DC4"/>
    <w:rsid w:val="004C3842"/>
    <w:rsid w:val="004C608E"/>
    <w:rsid w:val="004D0D4C"/>
    <w:rsid w:val="004D6144"/>
    <w:rsid w:val="004E4A62"/>
    <w:rsid w:val="004E4BD6"/>
    <w:rsid w:val="004E68D1"/>
    <w:rsid w:val="004E70AF"/>
    <w:rsid w:val="004F6B0E"/>
    <w:rsid w:val="00500C84"/>
    <w:rsid w:val="00503D58"/>
    <w:rsid w:val="00510AAA"/>
    <w:rsid w:val="00523241"/>
    <w:rsid w:val="00526EFF"/>
    <w:rsid w:val="00530467"/>
    <w:rsid w:val="0053129A"/>
    <w:rsid w:val="005314C6"/>
    <w:rsid w:val="00533DDF"/>
    <w:rsid w:val="00537BCA"/>
    <w:rsid w:val="005419DE"/>
    <w:rsid w:val="0054252E"/>
    <w:rsid w:val="00542740"/>
    <w:rsid w:val="00546178"/>
    <w:rsid w:val="005471A0"/>
    <w:rsid w:val="005545EA"/>
    <w:rsid w:val="00557948"/>
    <w:rsid w:val="0056148F"/>
    <w:rsid w:val="00562238"/>
    <w:rsid w:val="00564529"/>
    <w:rsid w:val="00565864"/>
    <w:rsid w:val="005658E6"/>
    <w:rsid w:val="005671C0"/>
    <w:rsid w:val="005705E4"/>
    <w:rsid w:val="00572705"/>
    <w:rsid w:val="00572FC0"/>
    <w:rsid w:val="00573F0E"/>
    <w:rsid w:val="00575EC6"/>
    <w:rsid w:val="00576A64"/>
    <w:rsid w:val="00593022"/>
    <w:rsid w:val="0059523E"/>
    <w:rsid w:val="00597011"/>
    <w:rsid w:val="00597306"/>
    <w:rsid w:val="005A01D2"/>
    <w:rsid w:val="005A0207"/>
    <w:rsid w:val="005A2AB0"/>
    <w:rsid w:val="005A6CE0"/>
    <w:rsid w:val="005B3B17"/>
    <w:rsid w:val="005B4AD9"/>
    <w:rsid w:val="005C27C2"/>
    <w:rsid w:val="005C47E6"/>
    <w:rsid w:val="005C639D"/>
    <w:rsid w:val="005C7C30"/>
    <w:rsid w:val="005D3E4B"/>
    <w:rsid w:val="005D7211"/>
    <w:rsid w:val="005E4465"/>
    <w:rsid w:val="005F1847"/>
    <w:rsid w:val="005F4B59"/>
    <w:rsid w:val="005F4FAB"/>
    <w:rsid w:val="005F7373"/>
    <w:rsid w:val="005F7FE1"/>
    <w:rsid w:val="00601EB2"/>
    <w:rsid w:val="00603BBF"/>
    <w:rsid w:val="00610C09"/>
    <w:rsid w:val="00616D86"/>
    <w:rsid w:val="006170B6"/>
    <w:rsid w:val="006176DF"/>
    <w:rsid w:val="00621A97"/>
    <w:rsid w:val="00627C3E"/>
    <w:rsid w:val="00627C67"/>
    <w:rsid w:val="00633C99"/>
    <w:rsid w:val="00642B02"/>
    <w:rsid w:val="006439A2"/>
    <w:rsid w:val="00647C50"/>
    <w:rsid w:val="00650035"/>
    <w:rsid w:val="00650727"/>
    <w:rsid w:val="00657E6F"/>
    <w:rsid w:val="00660C69"/>
    <w:rsid w:val="00665E31"/>
    <w:rsid w:val="006701E4"/>
    <w:rsid w:val="00681864"/>
    <w:rsid w:val="00690007"/>
    <w:rsid w:val="006920AB"/>
    <w:rsid w:val="00697883"/>
    <w:rsid w:val="006A02C8"/>
    <w:rsid w:val="006A747B"/>
    <w:rsid w:val="006B0CA6"/>
    <w:rsid w:val="006B3551"/>
    <w:rsid w:val="006C1309"/>
    <w:rsid w:val="006C2B8E"/>
    <w:rsid w:val="006C59B9"/>
    <w:rsid w:val="006C5B43"/>
    <w:rsid w:val="006D2E5D"/>
    <w:rsid w:val="006D5B0F"/>
    <w:rsid w:val="006D6844"/>
    <w:rsid w:val="006E5B83"/>
    <w:rsid w:val="006F1FA1"/>
    <w:rsid w:val="006F2C0B"/>
    <w:rsid w:val="006F6B96"/>
    <w:rsid w:val="006F7AC9"/>
    <w:rsid w:val="006F7C1B"/>
    <w:rsid w:val="00700FB5"/>
    <w:rsid w:val="00703208"/>
    <w:rsid w:val="007068B0"/>
    <w:rsid w:val="007071CF"/>
    <w:rsid w:val="00710661"/>
    <w:rsid w:val="00710E22"/>
    <w:rsid w:val="00711330"/>
    <w:rsid w:val="00713CBC"/>
    <w:rsid w:val="007172B7"/>
    <w:rsid w:val="00717D4F"/>
    <w:rsid w:val="007202E4"/>
    <w:rsid w:val="00720EAA"/>
    <w:rsid w:val="007227B5"/>
    <w:rsid w:val="00725C1F"/>
    <w:rsid w:val="00725CA6"/>
    <w:rsid w:val="00733C8E"/>
    <w:rsid w:val="00737D9B"/>
    <w:rsid w:val="007501E0"/>
    <w:rsid w:val="00750470"/>
    <w:rsid w:val="0075623E"/>
    <w:rsid w:val="00764F12"/>
    <w:rsid w:val="0076579B"/>
    <w:rsid w:val="00770086"/>
    <w:rsid w:val="00771141"/>
    <w:rsid w:val="00775FFF"/>
    <w:rsid w:val="0077682B"/>
    <w:rsid w:val="00783B23"/>
    <w:rsid w:val="00787FD9"/>
    <w:rsid w:val="007943AB"/>
    <w:rsid w:val="00794C17"/>
    <w:rsid w:val="00795C81"/>
    <w:rsid w:val="00795F68"/>
    <w:rsid w:val="007A0321"/>
    <w:rsid w:val="007A3DC4"/>
    <w:rsid w:val="007A48D7"/>
    <w:rsid w:val="007A5F31"/>
    <w:rsid w:val="007A6526"/>
    <w:rsid w:val="007B0755"/>
    <w:rsid w:val="007B2ABF"/>
    <w:rsid w:val="007B34B8"/>
    <w:rsid w:val="007B3FDE"/>
    <w:rsid w:val="007B57FA"/>
    <w:rsid w:val="007D23A5"/>
    <w:rsid w:val="007D4B31"/>
    <w:rsid w:val="007E1843"/>
    <w:rsid w:val="007E1BE3"/>
    <w:rsid w:val="007E5B1E"/>
    <w:rsid w:val="007E7389"/>
    <w:rsid w:val="007F018C"/>
    <w:rsid w:val="007F1DBB"/>
    <w:rsid w:val="007F31D2"/>
    <w:rsid w:val="007F47A2"/>
    <w:rsid w:val="007F5178"/>
    <w:rsid w:val="007F7E90"/>
    <w:rsid w:val="00810CED"/>
    <w:rsid w:val="008119AC"/>
    <w:rsid w:val="008120E7"/>
    <w:rsid w:val="00815AAF"/>
    <w:rsid w:val="00817B06"/>
    <w:rsid w:val="00820C93"/>
    <w:rsid w:val="0083200F"/>
    <w:rsid w:val="00832D3F"/>
    <w:rsid w:val="00834362"/>
    <w:rsid w:val="00835054"/>
    <w:rsid w:val="00841B5F"/>
    <w:rsid w:val="008439C0"/>
    <w:rsid w:val="008501B8"/>
    <w:rsid w:val="00850532"/>
    <w:rsid w:val="00855476"/>
    <w:rsid w:val="00855DFE"/>
    <w:rsid w:val="00856037"/>
    <w:rsid w:val="00856E32"/>
    <w:rsid w:val="00871BBC"/>
    <w:rsid w:val="008734D5"/>
    <w:rsid w:val="00880661"/>
    <w:rsid w:val="00880B05"/>
    <w:rsid w:val="00894A29"/>
    <w:rsid w:val="00896215"/>
    <w:rsid w:val="008A0DD4"/>
    <w:rsid w:val="008A233F"/>
    <w:rsid w:val="008A3C89"/>
    <w:rsid w:val="008A5D5C"/>
    <w:rsid w:val="008B2D68"/>
    <w:rsid w:val="008B4B92"/>
    <w:rsid w:val="008C20FE"/>
    <w:rsid w:val="008C4EA3"/>
    <w:rsid w:val="008C6C38"/>
    <w:rsid w:val="008C74F6"/>
    <w:rsid w:val="008D7514"/>
    <w:rsid w:val="008E017E"/>
    <w:rsid w:val="008E0946"/>
    <w:rsid w:val="008E328C"/>
    <w:rsid w:val="008E73AD"/>
    <w:rsid w:val="008F1EFC"/>
    <w:rsid w:val="008F552B"/>
    <w:rsid w:val="0090327D"/>
    <w:rsid w:val="0090625B"/>
    <w:rsid w:val="009100DF"/>
    <w:rsid w:val="009101C4"/>
    <w:rsid w:val="009109EF"/>
    <w:rsid w:val="00916390"/>
    <w:rsid w:val="00917519"/>
    <w:rsid w:val="00921309"/>
    <w:rsid w:val="009275B4"/>
    <w:rsid w:val="00931B41"/>
    <w:rsid w:val="009436F6"/>
    <w:rsid w:val="00951C86"/>
    <w:rsid w:val="00955B37"/>
    <w:rsid w:val="009724C7"/>
    <w:rsid w:val="0097381C"/>
    <w:rsid w:val="00977B22"/>
    <w:rsid w:val="00984444"/>
    <w:rsid w:val="009871F0"/>
    <w:rsid w:val="009907A4"/>
    <w:rsid w:val="00990833"/>
    <w:rsid w:val="0099151E"/>
    <w:rsid w:val="00991718"/>
    <w:rsid w:val="00992548"/>
    <w:rsid w:val="00993B2D"/>
    <w:rsid w:val="00996E32"/>
    <w:rsid w:val="009A2E6C"/>
    <w:rsid w:val="009A390E"/>
    <w:rsid w:val="009A420A"/>
    <w:rsid w:val="009A592A"/>
    <w:rsid w:val="009A6E7A"/>
    <w:rsid w:val="009B0072"/>
    <w:rsid w:val="009C0F64"/>
    <w:rsid w:val="009C3366"/>
    <w:rsid w:val="009C3D15"/>
    <w:rsid w:val="009C3FE4"/>
    <w:rsid w:val="009C7F72"/>
    <w:rsid w:val="009D2319"/>
    <w:rsid w:val="009D27D9"/>
    <w:rsid w:val="009D3A87"/>
    <w:rsid w:val="009E1663"/>
    <w:rsid w:val="009E3F92"/>
    <w:rsid w:val="009F1D4C"/>
    <w:rsid w:val="009F4395"/>
    <w:rsid w:val="009F7F75"/>
    <w:rsid w:val="00A0447E"/>
    <w:rsid w:val="00A053C6"/>
    <w:rsid w:val="00A1555F"/>
    <w:rsid w:val="00A176E8"/>
    <w:rsid w:val="00A24BDE"/>
    <w:rsid w:val="00A25008"/>
    <w:rsid w:val="00A2784E"/>
    <w:rsid w:val="00A41FCD"/>
    <w:rsid w:val="00A42833"/>
    <w:rsid w:val="00A4503C"/>
    <w:rsid w:val="00A52159"/>
    <w:rsid w:val="00A5232E"/>
    <w:rsid w:val="00A6121F"/>
    <w:rsid w:val="00A61493"/>
    <w:rsid w:val="00A80317"/>
    <w:rsid w:val="00A81703"/>
    <w:rsid w:val="00A83D52"/>
    <w:rsid w:val="00A91FF2"/>
    <w:rsid w:val="00A95942"/>
    <w:rsid w:val="00A97D4B"/>
    <w:rsid w:val="00AA6137"/>
    <w:rsid w:val="00AA64CB"/>
    <w:rsid w:val="00AA6F89"/>
    <w:rsid w:val="00AB30B7"/>
    <w:rsid w:val="00AB6E9B"/>
    <w:rsid w:val="00AD0F54"/>
    <w:rsid w:val="00AD2938"/>
    <w:rsid w:val="00AD6F7E"/>
    <w:rsid w:val="00AE29D2"/>
    <w:rsid w:val="00AF1BE7"/>
    <w:rsid w:val="00B04551"/>
    <w:rsid w:val="00B061C8"/>
    <w:rsid w:val="00B06763"/>
    <w:rsid w:val="00B14314"/>
    <w:rsid w:val="00B16D19"/>
    <w:rsid w:val="00B24CAD"/>
    <w:rsid w:val="00B2761E"/>
    <w:rsid w:val="00B27EA5"/>
    <w:rsid w:val="00B333B9"/>
    <w:rsid w:val="00B353A4"/>
    <w:rsid w:val="00B502B6"/>
    <w:rsid w:val="00B51524"/>
    <w:rsid w:val="00B568DA"/>
    <w:rsid w:val="00B6451A"/>
    <w:rsid w:val="00B67F16"/>
    <w:rsid w:val="00B7291F"/>
    <w:rsid w:val="00B81376"/>
    <w:rsid w:val="00B84BC9"/>
    <w:rsid w:val="00B861D3"/>
    <w:rsid w:val="00BA3D5F"/>
    <w:rsid w:val="00BB01A4"/>
    <w:rsid w:val="00BB1114"/>
    <w:rsid w:val="00BB31B9"/>
    <w:rsid w:val="00BB603C"/>
    <w:rsid w:val="00BC0F6D"/>
    <w:rsid w:val="00BC3139"/>
    <w:rsid w:val="00BC3694"/>
    <w:rsid w:val="00BC469F"/>
    <w:rsid w:val="00BC7FAB"/>
    <w:rsid w:val="00BD1806"/>
    <w:rsid w:val="00BD7D8C"/>
    <w:rsid w:val="00BE35C0"/>
    <w:rsid w:val="00BE3832"/>
    <w:rsid w:val="00BF021A"/>
    <w:rsid w:val="00C026A2"/>
    <w:rsid w:val="00C062A1"/>
    <w:rsid w:val="00C136C1"/>
    <w:rsid w:val="00C1380F"/>
    <w:rsid w:val="00C20E1C"/>
    <w:rsid w:val="00C20E86"/>
    <w:rsid w:val="00C21887"/>
    <w:rsid w:val="00C268A6"/>
    <w:rsid w:val="00C30D88"/>
    <w:rsid w:val="00C344FA"/>
    <w:rsid w:val="00C35276"/>
    <w:rsid w:val="00C43EBE"/>
    <w:rsid w:val="00C44178"/>
    <w:rsid w:val="00C47ACD"/>
    <w:rsid w:val="00C534A0"/>
    <w:rsid w:val="00C535BF"/>
    <w:rsid w:val="00C62F3F"/>
    <w:rsid w:val="00C6577B"/>
    <w:rsid w:val="00C727D9"/>
    <w:rsid w:val="00C81F69"/>
    <w:rsid w:val="00C838E5"/>
    <w:rsid w:val="00C846E9"/>
    <w:rsid w:val="00C92531"/>
    <w:rsid w:val="00C9267B"/>
    <w:rsid w:val="00C93669"/>
    <w:rsid w:val="00C93AE9"/>
    <w:rsid w:val="00C93C65"/>
    <w:rsid w:val="00C95F8B"/>
    <w:rsid w:val="00CC3497"/>
    <w:rsid w:val="00CC7808"/>
    <w:rsid w:val="00CC7CE5"/>
    <w:rsid w:val="00CD199B"/>
    <w:rsid w:val="00CE0C53"/>
    <w:rsid w:val="00CE1711"/>
    <w:rsid w:val="00CE552A"/>
    <w:rsid w:val="00CE79F7"/>
    <w:rsid w:val="00CF1E76"/>
    <w:rsid w:val="00D03997"/>
    <w:rsid w:val="00D06A94"/>
    <w:rsid w:val="00D15BD7"/>
    <w:rsid w:val="00D15E01"/>
    <w:rsid w:val="00D1750E"/>
    <w:rsid w:val="00D230B0"/>
    <w:rsid w:val="00D23AAD"/>
    <w:rsid w:val="00D24A0E"/>
    <w:rsid w:val="00D31DA6"/>
    <w:rsid w:val="00D3420A"/>
    <w:rsid w:val="00D34B49"/>
    <w:rsid w:val="00D4081E"/>
    <w:rsid w:val="00D41752"/>
    <w:rsid w:val="00D46309"/>
    <w:rsid w:val="00D4646A"/>
    <w:rsid w:val="00D4763F"/>
    <w:rsid w:val="00D51E87"/>
    <w:rsid w:val="00D53CF4"/>
    <w:rsid w:val="00D55B13"/>
    <w:rsid w:val="00D62329"/>
    <w:rsid w:val="00D65ED5"/>
    <w:rsid w:val="00D67899"/>
    <w:rsid w:val="00D678EC"/>
    <w:rsid w:val="00D74E25"/>
    <w:rsid w:val="00D81D59"/>
    <w:rsid w:val="00D85903"/>
    <w:rsid w:val="00D94407"/>
    <w:rsid w:val="00DA3F1B"/>
    <w:rsid w:val="00DA53BF"/>
    <w:rsid w:val="00DA74D6"/>
    <w:rsid w:val="00DB0294"/>
    <w:rsid w:val="00DC30F8"/>
    <w:rsid w:val="00DC612B"/>
    <w:rsid w:val="00DC7A76"/>
    <w:rsid w:val="00DD1A40"/>
    <w:rsid w:val="00DD2750"/>
    <w:rsid w:val="00DD3F68"/>
    <w:rsid w:val="00DE3771"/>
    <w:rsid w:val="00DE4C5B"/>
    <w:rsid w:val="00DE69E1"/>
    <w:rsid w:val="00DF01C7"/>
    <w:rsid w:val="00DF0BC3"/>
    <w:rsid w:val="00E0662B"/>
    <w:rsid w:val="00E076FB"/>
    <w:rsid w:val="00E16B2F"/>
    <w:rsid w:val="00E20861"/>
    <w:rsid w:val="00E2520D"/>
    <w:rsid w:val="00E2643A"/>
    <w:rsid w:val="00E268CD"/>
    <w:rsid w:val="00E325EB"/>
    <w:rsid w:val="00E3297B"/>
    <w:rsid w:val="00E40759"/>
    <w:rsid w:val="00E40840"/>
    <w:rsid w:val="00E4202E"/>
    <w:rsid w:val="00E424C3"/>
    <w:rsid w:val="00E43936"/>
    <w:rsid w:val="00E45B62"/>
    <w:rsid w:val="00E4788C"/>
    <w:rsid w:val="00E50C83"/>
    <w:rsid w:val="00E53E70"/>
    <w:rsid w:val="00E554BE"/>
    <w:rsid w:val="00E578F6"/>
    <w:rsid w:val="00E57C07"/>
    <w:rsid w:val="00E57CEA"/>
    <w:rsid w:val="00E60186"/>
    <w:rsid w:val="00E6366E"/>
    <w:rsid w:val="00E641B0"/>
    <w:rsid w:val="00E71016"/>
    <w:rsid w:val="00E721EF"/>
    <w:rsid w:val="00E776BA"/>
    <w:rsid w:val="00E77B17"/>
    <w:rsid w:val="00E813FD"/>
    <w:rsid w:val="00E82462"/>
    <w:rsid w:val="00E924CC"/>
    <w:rsid w:val="00E939FC"/>
    <w:rsid w:val="00E94455"/>
    <w:rsid w:val="00E96A46"/>
    <w:rsid w:val="00E96FC6"/>
    <w:rsid w:val="00E973FB"/>
    <w:rsid w:val="00EA0DE6"/>
    <w:rsid w:val="00EA4357"/>
    <w:rsid w:val="00EA52FF"/>
    <w:rsid w:val="00EA5BE3"/>
    <w:rsid w:val="00EB00E7"/>
    <w:rsid w:val="00EC6C24"/>
    <w:rsid w:val="00EC77FE"/>
    <w:rsid w:val="00ED0B53"/>
    <w:rsid w:val="00EF007E"/>
    <w:rsid w:val="00EF2EF4"/>
    <w:rsid w:val="00F16670"/>
    <w:rsid w:val="00F16E6B"/>
    <w:rsid w:val="00F206DF"/>
    <w:rsid w:val="00F22624"/>
    <w:rsid w:val="00F230FA"/>
    <w:rsid w:val="00F252EC"/>
    <w:rsid w:val="00F26133"/>
    <w:rsid w:val="00F26D87"/>
    <w:rsid w:val="00F26EF7"/>
    <w:rsid w:val="00F305FE"/>
    <w:rsid w:val="00F405BC"/>
    <w:rsid w:val="00F444DD"/>
    <w:rsid w:val="00F45F8C"/>
    <w:rsid w:val="00F50214"/>
    <w:rsid w:val="00F5655F"/>
    <w:rsid w:val="00F568E3"/>
    <w:rsid w:val="00F647A2"/>
    <w:rsid w:val="00F73752"/>
    <w:rsid w:val="00F76CF4"/>
    <w:rsid w:val="00F8195F"/>
    <w:rsid w:val="00F819EA"/>
    <w:rsid w:val="00F81EF0"/>
    <w:rsid w:val="00F82B86"/>
    <w:rsid w:val="00F8435C"/>
    <w:rsid w:val="00F85B95"/>
    <w:rsid w:val="00F87707"/>
    <w:rsid w:val="00F87EF5"/>
    <w:rsid w:val="00F90A34"/>
    <w:rsid w:val="00F931E8"/>
    <w:rsid w:val="00F94D5F"/>
    <w:rsid w:val="00F9726C"/>
    <w:rsid w:val="00F9751D"/>
    <w:rsid w:val="00FA3675"/>
    <w:rsid w:val="00FA49F8"/>
    <w:rsid w:val="00FA7AD3"/>
    <w:rsid w:val="00FD1295"/>
    <w:rsid w:val="00FD4C4B"/>
    <w:rsid w:val="00FD713D"/>
    <w:rsid w:val="00FE6ED7"/>
    <w:rsid w:val="00FF2872"/>
    <w:rsid w:val="00FF3FD5"/>
    <w:rsid w:val="00FF414B"/>
    <w:rsid w:val="00FF780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27D5"/>
  <w15:docId w15:val="{65606A9E-85C4-4560-9DFB-9801DAC9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62B"/>
    <w:pPr>
      <w:spacing w:after="200" w:line="360" w:lineRule="auto"/>
      <w:jc w:val="both"/>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5D7E02"/>
    <w:rPr>
      <w:color w:val="0000FF" w:themeColor="hyperlink"/>
      <w:u w:val="single"/>
    </w:rPr>
  </w:style>
  <w:style w:type="character" w:customStyle="1" w:styleId="HeaderChar">
    <w:name w:val="Header Char"/>
    <w:basedOn w:val="DefaultParagraphFont"/>
    <w:link w:val="Header"/>
    <w:uiPriority w:val="99"/>
    <w:qFormat/>
    <w:rsid w:val="00C332CD"/>
  </w:style>
  <w:style w:type="character" w:customStyle="1" w:styleId="FooterChar">
    <w:name w:val="Footer Char"/>
    <w:basedOn w:val="DefaultParagraphFont"/>
    <w:link w:val="Footer"/>
    <w:uiPriority w:val="99"/>
    <w:qFormat/>
    <w:rsid w:val="00C332CD"/>
  </w:style>
  <w:style w:type="character" w:customStyle="1" w:styleId="FootnoteTextChar">
    <w:name w:val="Footnote Text Char"/>
    <w:basedOn w:val="DefaultParagraphFont"/>
    <w:link w:val="FootnoteText"/>
    <w:uiPriority w:val="99"/>
    <w:semiHidden/>
    <w:qFormat/>
    <w:rsid w:val="004171C5"/>
    <w:rPr>
      <w:sz w:val="20"/>
      <w:szCs w:val="20"/>
    </w:rPr>
  </w:style>
  <w:style w:type="character" w:styleId="FootnoteReference">
    <w:name w:val="footnote reference"/>
    <w:basedOn w:val="DefaultParagraphFont"/>
    <w:uiPriority w:val="99"/>
    <w:semiHidden/>
    <w:unhideWhenUsed/>
    <w:qFormat/>
    <w:rsid w:val="004171C5"/>
    <w:rPr>
      <w:vertAlign w:val="superscript"/>
    </w:rPr>
  </w:style>
  <w:style w:type="character" w:customStyle="1" w:styleId="BalloonTextChar">
    <w:name w:val="Balloon Text Char"/>
    <w:basedOn w:val="DefaultParagraphFont"/>
    <w:link w:val="BalloonText"/>
    <w:uiPriority w:val="99"/>
    <w:semiHidden/>
    <w:qFormat/>
    <w:rsid w:val="00A03ACD"/>
    <w:rPr>
      <w:rFonts w:ascii="Tahoma" w:hAnsi="Tahoma" w:cs="Tahoma"/>
      <w:sz w:val="16"/>
      <w:szCs w:val="16"/>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WenQuanYi Micro Hei"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unhideWhenUsed/>
    <w:rsid w:val="00C332CD"/>
    <w:pPr>
      <w:tabs>
        <w:tab w:val="center" w:pos="4536"/>
        <w:tab w:val="right" w:pos="9072"/>
      </w:tabs>
      <w:spacing w:after="0" w:line="240" w:lineRule="auto"/>
      <w:jc w:val="left"/>
    </w:pPr>
  </w:style>
  <w:style w:type="paragraph" w:styleId="Footer">
    <w:name w:val="footer"/>
    <w:basedOn w:val="Normal"/>
    <w:link w:val="FooterChar"/>
    <w:uiPriority w:val="99"/>
    <w:unhideWhenUsed/>
    <w:rsid w:val="00C332CD"/>
    <w:pPr>
      <w:tabs>
        <w:tab w:val="center" w:pos="4536"/>
        <w:tab w:val="right" w:pos="9072"/>
      </w:tabs>
      <w:spacing w:after="0" w:line="240" w:lineRule="auto"/>
      <w:jc w:val="left"/>
    </w:pPr>
  </w:style>
  <w:style w:type="paragraph" w:styleId="FootnoteText">
    <w:name w:val="footnote text"/>
    <w:basedOn w:val="Normal"/>
    <w:link w:val="FootnoteTextChar"/>
  </w:style>
  <w:style w:type="paragraph" w:styleId="BalloonText">
    <w:name w:val="Balloon Text"/>
    <w:basedOn w:val="Normal"/>
    <w:link w:val="BalloonTextChar"/>
    <w:uiPriority w:val="99"/>
    <w:semiHidden/>
    <w:unhideWhenUsed/>
    <w:qFormat/>
    <w:rsid w:val="00A03ACD"/>
    <w:pPr>
      <w:spacing w:after="0" w:line="240" w:lineRule="auto"/>
      <w:jc w:val="left"/>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color w:val="00000A"/>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10C09"/>
    <w:rPr>
      <w:b/>
      <w:bCs/>
    </w:rPr>
  </w:style>
  <w:style w:type="character" w:customStyle="1" w:styleId="CommentSubjectChar">
    <w:name w:val="Comment Subject Char"/>
    <w:basedOn w:val="CommentTextChar"/>
    <w:link w:val="CommentSubject"/>
    <w:uiPriority w:val="99"/>
    <w:semiHidden/>
    <w:rsid w:val="00610C09"/>
    <w:rPr>
      <w:b/>
      <w:bCs/>
      <w:color w:val="00000A"/>
      <w:szCs w:val="20"/>
    </w:rPr>
  </w:style>
  <w:style w:type="paragraph" w:styleId="Revision">
    <w:name w:val="Revision"/>
    <w:hidden/>
    <w:uiPriority w:val="99"/>
    <w:semiHidden/>
    <w:rsid w:val="00856037"/>
    <w:rPr>
      <w:color w:val="00000A"/>
      <w:sz w:val="22"/>
    </w:rPr>
  </w:style>
  <w:style w:type="character" w:styleId="Hyperlink">
    <w:name w:val="Hyperlink"/>
    <w:basedOn w:val="DefaultParagraphFont"/>
    <w:uiPriority w:val="99"/>
    <w:unhideWhenUsed/>
    <w:rsid w:val="006F2C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07016">
      <w:bodyDiv w:val="1"/>
      <w:marLeft w:val="0"/>
      <w:marRight w:val="0"/>
      <w:marTop w:val="0"/>
      <w:marBottom w:val="0"/>
      <w:divBdr>
        <w:top w:val="none" w:sz="0" w:space="0" w:color="auto"/>
        <w:left w:val="none" w:sz="0" w:space="0" w:color="auto"/>
        <w:bottom w:val="none" w:sz="0" w:space="0" w:color="auto"/>
        <w:right w:val="none" w:sz="0" w:space="0" w:color="auto"/>
      </w:divBdr>
      <w:divsChild>
        <w:div w:id="569997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sg@essex.ac.uk"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imf.org/en/News/Articles/2017/10/23/sp101817-structural-reforms-in-the-euro-zone-an-imf-perspective"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erald.Schneider@uni-konstanz.de" TargetMode="External"/><Relationship Id="rId14" Type="http://schemas.openxmlformats.org/officeDocument/2006/relationships/hyperlink" Target="https://www.economist.com/cassandra/2013/12/23/protesting-prediction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F503C-F5E6-4D54-B9D2-FBB283B3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9646</Words>
  <Characters>54983</Characters>
  <Application>Microsoft Office Word</Application>
  <DocSecurity>0</DocSecurity>
  <Lines>458</Lines>
  <Paragraphs>128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 Konstanz</Company>
  <LinksUpToDate>false</LinksUpToDate>
  <CharactersWithSpaces>64501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dc:creator>
  <cp:lastModifiedBy>Rohrschneider, Robert</cp:lastModifiedBy>
  <cp:revision>2</cp:revision>
  <cp:lastPrinted>2017-07-21T15:46:00Z</cp:lastPrinted>
  <dcterms:created xsi:type="dcterms:W3CDTF">2019-02-18T22:45:00Z</dcterms:created>
  <dcterms:modified xsi:type="dcterms:W3CDTF">2019-02-18T22:45:00Z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Universität Konstanz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